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7D0" w:rsidRDefault="008F178A">
      <w:pPr>
        <w:pStyle w:val="Nzev"/>
        <w:spacing w:before="1440"/>
      </w:pPr>
      <w:bookmarkStart w:id="0" w:name="_Toc30144053"/>
      <w:bookmarkStart w:id="1" w:name="_GoBack"/>
      <w:bookmarkEnd w:id="1"/>
      <w:r>
        <w:t xml:space="preserve">KVALITA OVZDUŠÍ </w:t>
      </w:r>
      <w:r>
        <w:br/>
        <w:t xml:space="preserve">NA ÚZEMÍ </w:t>
      </w:r>
      <w:r>
        <w:br/>
        <w:t>ČESKÉ REPUBLIKY</w:t>
      </w:r>
      <w:bookmarkEnd w:id="0"/>
    </w:p>
    <w:p w:rsidR="002C07D0" w:rsidRDefault="008F178A">
      <w:pPr>
        <w:pStyle w:val="Nzev"/>
        <w:spacing w:before="360"/>
      </w:pPr>
      <w:bookmarkStart w:id="2" w:name="_Toc30144054"/>
      <w:r>
        <w:t>V ROCE 20</w:t>
      </w:r>
      <w:bookmarkEnd w:id="2"/>
      <w:r>
        <w:t>20</w:t>
      </w:r>
    </w:p>
    <w:p w:rsidR="002C07D0" w:rsidRDefault="008F178A">
      <w:pPr>
        <w:pStyle w:val="Nadpiskontakt"/>
        <w:spacing w:after="400" w:line="240" w:lineRule="auto"/>
        <w:rPr>
          <w:lang w:eastAsia="cs-CZ"/>
        </w:rPr>
      </w:pPr>
      <w:r>
        <w:rPr>
          <w:lang w:eastAsia="cs-CZ"/>
        </w:rPr>
        <w:t xml:space="preserve">Předběžné zhodnocení </w:t>
      </w:r>
    </w:p>
    <w:p w:rsidR="002C07D0" w:rsidRDefault="008F178A">
      <w:pPr>
        <w:pStyle w:val="Nadpiskontakt"/>
        <w:spacing w:after="400" w:line="240" w:lineRule="auto"/>
        <w:rPr>
          <w:lang w:eastAsia="cs-CZ"/>
        </w:rPr>
      </w:pPr>
      <w:r>
        <w:rPr>
          <w:lang w:eastAsia="cs-CZ"/>
        </w:rPr>
        <w:t>II. část</w:t>
      </w:r>
    </w:p>
    <w:p w:rsidR="002C07D0" w:rsidRDefault="008F178A">
      <w:pPr>
        <w:pStyle w:val="Nadpiskontakt"/>
        <w:spacing w:after="400" w:line="240" w:lineRule="auto"/>
        <w:rPr>
          <w:sz w:val="36"/>
          <w:szCs w:val="36"/>
          <w:lang w:eastAsia="cs-CZ"/>
        </w:rPr>
      </w:pPr>
      <w:r>
        <w:rPr>
          <w:sz w:val="36"/>
          <w:szCs w:val="36"/>
          <w:lang w:eastAsia="cs-CZ"/>
        </w:rPr>
        <w:t>Zhodnocení koncentrací benzo[</w:t>
      </w:r>
      <w:r>
        <w:rPr>
          <w:i/>
          <w:sz w:val="36"/>
          <w:szCs w:val="36"/>
          <w:lang w:eastAsia="cs-CZ"/>
        </w:rPr>
        <w:t>a</w:t>
      </w:r>
      <w:r>
        <w:rPr>
          <w:sz w:val="36"/>
          <w:szCs w:val="36"/>
          <w:lang w:eastAsia="cs-CZ"/>
        </w:rPr>
        <w:t>]pyrenu, benzenu a těžkých kovů (As, Cd, Ni, Pb)</w:t>
      </w:r>
    </w:p>
    <w:p w:rsidR="002C07D0" w:rsidRDefault="002C07D0">
      <w:pPr>
        <w:spacing w:line="259" w:lineRule="auto"/>
        <w:rPr>
          <w:rFonts w:eastAsia="Cambria" w:cs="Cambria"/>
          <w:b/>
          <w:bCs/>
          <w:spacing w:val="6"/>
          <w:sz w:val="28"/>
          <w:szCs w:val="26"/>
        </w:rPr>
      </w:pPr>
    </w:p>
    <w:p w:rsidR="002C07D0" w:rsidRDefault="002C07D0">
      <w:pPr>
        <w:spacing w:line="259" w:lineRule="auto"/>
        <w:rPr>
          <w:rFonts w:eastAsia="Cambria" w:cs="Cambria"/>
          <w:b/>
          <w:bCs/>
          <w:spacing w:val="6"/>
          <w:sz w:val="28"/>
          <w:szCs w:val="26"/>
        </w:rPr>
      </w:pPr>
    </w:p>
    <w:p w:rsidR="002C07D0" w:rsidRDefault="002C07D0">
      <w:pPr>
        <w:spacing w:line="259" w:lineRule="auto"/>
        <w:rPr>
          <w:rFonts w:eastAsia="Cambria" w:cs="Cambria"/>
          <w:b/>
          <w:bCs/>
          <w:spacing w:val="6"/>
          <w:sz w:val="28"/>
          <w:szCs w:val="26"/>
        </w:rPr>
      </w:pPr>
    </w:p>
    <w:p w:rsidR="002C07D0" w:rsidRDefault="008F178A">
      <w:pPr>
        <w:spacing w:after="120" w:line="240" w:lineRule="auto"/>
        <w:rPr>
          <w:rFonts w:ascii="Arial" w:eastAsia="Cambria" w:hAnsi="Arial" w:cs="Arial"/>
          <w:bCs/>
          <w:i/>
          <w:spacing w:val="6"/>
          <w:szCs w:val="24"/>
        </w:rPr>
      </w:pPr>
      <w:r>
        <w:rPr>
          <w:rFonts w:ascii="Arial" w:eastAsia="Cambria" w:hAnsi="Arial" w:cs="Arial"/>
          <w:bCs/>
          <w:i/>
          <w:spacing w:val="6"/>
          <w:szCs w:val="24"/>
        </w:rPr>
        <w:t>RNDr. Markéta Schreiberová, Oddělení ISKO, ČHMÚ Praha-Komořany</w:t>
      </w:r>
    </w:p>
    <w:p w:rsidR="002C07D0" w:rsidRDefault="008F178A">
      <w:pPr>
        <w:spacing w:after="120" w:line="240" w:lineRule="auto"/>
        <w:rPr>
          <w:rFonts w:ascii="Arial" w:eastAsia="Cambria" w:hAnsi="Arial" w:cs="Arial"/>
          <w:bCs/>
          <w:i/>
          <w:spacing w:val="6"/>
          <w:szCs w:val="24"/>
        </w:rPr>
      </w:pPr>
      <w:r>
        <w:rPr>
          <w:rFonts w:ascii="Arial" w:eastAsia="Cambria" w:hAnsi="Arial" w:cs="Arial"/>
          <w:bCs/>
          <w:i/>
          <w:spacing w:val="6"/>
          <w:szCs w:val="24"/>
        </w:rPr>
        <w:t>Bc. Hana Škáchová, Oddělení ISKO, ČHMÚ Praha-Komořany</w:t>
      </w:r>
    </w:p>
    <w:p w:rsidR="002C07D0" w:rsidRDefault="008F178A">
      <w:pPr>
        <w:spacing w:after="120" w:line="240" w:lineRule="auto"/>
        <w:rPr>
          <w:rFonts w:ascii="Arial" w:eastAsia="Cambria" w:hAnsi="Arial" w:cs="Arial"/>
          <w:bCs/>
          <w:i/>
          <w:spacing w:val="6"/>
          <w:szCs w:val="24"/>
        </w:rPr>
      </w:pPr>
      <w:r>
        <w:rPr>
          <w:rFonts w:ascii="Arial" w:eastAsia="Cambria" w:hAnsi="Arial" w:cs="Arial"/>
          <w:bCs/>
          <w:i/>
          <w:spacing w:val="6"/>
          <w:szCs w:val="24"/>
        </w:rPr>
        <w:t>RNDr. Leona Vlasáková, Ph.D., Oddělení ISKO, ČHMÚ Praha-Komořany</w:t>
      </w:r>
    </w:p>
    <w:p w:rsidR="002C07D0" w:rsidRDefault="002C07D0"/>
    <w:p w:rsidR="002C07D0" w:rsidRDefault="002C07D0">
      <w:pPr>
        <w:rPr>
          <w:b/>
          <w:sz w:val="32"/>
          <w:szCs w:val="24"/>
          <w:lang w:eastAsia="cs-CZ"/>
        </w:rPr>
        <w:sectPr w:rsidR="002C07D0">
          <w:footerReference w:type="default" r:id="rId9"/>
          <w:pgSz w:w="11906" w:h="16838"/>
          <w:pgMar w:top="1134" w:right="1134" w:bottom="1134" w:left="1134" w:header="425" w:footer="709" w:gutter="0"/>
          <w:pgNumType w:start="0"/>
          <w:cols w:space="708"/>
          <w:docGrid w:linePitch="360"/>
        </w:sectPr>
      </w:pPr>
    </w:p>
    <w:sdt>
      <w:sdtPr>
        <w:rPr>
          <w:b w:val="0"/>
          <w:color w:val="14387F"/>
          <w:spacing w:val="0"/>
          <w:sz w:val="24"/>
        </w:rPr>
        <w:id w:val="-1152514120"/>
        <w:docPartObj>
          <w:docPartGallery w:val="Table of Contents"/>
          <w:docPartUnique/>
        </w:docPartObj>
      </w:sdtPr>
      <w:sdtEndPr/>
      <w:sdtContent>
        <w:p w:rsidR="00F75E03" w:rsidRDefault="008F178A">
          <w:pPr>
            <w:pStyle w:val="Nadpisobsahu"/>
            <w:rPr>
              <w:noProof/>
            </w:rPr>
          </w:pPr>
          <w:r>
            <w:rPr>
              <w:color w:val="14387F"/>
            </w:rPr>
            <w:t>Obsah</w:t>
          </w:r>
          <w:r>
            <w:rPr>
              <w:color w:val="14387F"/>
            </w:rPr>
            <w:fldChar w:fldCharType="begin"/>
          </w:r>
          <w:r>
            <w:rPr>
              <w:color w:val="14387F"/>
            </w:rPr>
            <w:instrText xml:space="preserve"> TOC \t "Nadpis 1;1;Nadpis 2;2" </w:instrText>
          </w:r>
          <w:r>
            <w:rPr>
              <w:color w:val="14387F"/>
            </w:rPr>
            <w:fldChar w:fldCharType="separate"/>
          </w:r>
        </w:p>
        <w:p w:rsidR="00F75E03" w:rsidRDefault="00F75E0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</w:pPr>
          <w:r>
            <w:rPr>
              <w:noProof/>
            </w:rPr>
            <w:t>Shrnutí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_Toc71185513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:rsidR="00F75E03" w:rsidRDefault="00F75E03">
          <w:pPr>
            <w:pStyle w:val="Obsah1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</w:pPr>
          <w:r>
            <w:rPr>
              <w:noProof/>
            </w:rPr>
            <w:t>I.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  <w:tab/>
          </w:r>
          <w:r>
            <w:rPr>
              <w:noProof/>
            </w:rPr>
            <w:t>Úvod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_Toc71185514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:rsidR="00F75E03" w:rsidRDefault="00F75E03">
          <w:pPr>
            <w:pStyle w:val="Obsah1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</w:pPr>
          <w:r>
            <w:rPr>
              <w:noProof/>
            </w:rPr>
            <w:t>II.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  <w:tab/>
          </w:r>
          <w:r>
            <w:rPr>
              <w:noProof/>
            </w:rPr>
            <w:t>Benzo[</w:t>
          </w:r>
          <w:r w:rsidRPr="00823D6F">
            <w:rPr>
              <w:i/>
              <w:noProof/>
            </w:rPr>
            <w:t>a</w:t>
          </w:r>
          <w:r>
            <w:rPr>
              <w:noProof/>
            </w:rPr>
            <w:t>]pyren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_Toc71185515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F75E03" w:rsidRDefault="00F75E03">
          <w:pPr>
            <w:pStyle w:val="Obsah1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</w:pPr>
          <w:r>
            <w:rPr>
              <w:noProof/>
            </w:rPr>
            <w:t>III.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  <w:tab/>
          </w:r>
          <w:r>
            <w:rPr>
              <w:noProof/>
            </w:rPr>
            <w:t>Benzen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_Toc71185516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F75E03" w:rsidRDefault="00F75E03">
          <w:pPr>
            <w:pStyle w:val="Obsah1"/>
            <w:tabs>
              <w:tab w:val="left" w:pos="567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</w:pPr>
          <w:r>
            <w:rPr>
              <w:noProof/>
            </w:rPr>
            <w:t>IV.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  <w:tab/>
          </w:r>
          <w:r>
            <w:rPr>
              <w:noProof/>
            </w:rPr>
            <w:t>Těžké kovy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_Toc71185517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F75E03" w:rsidRDefault="00F75E03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cs-CZ"/>
            </w:rPr>
          </w:pPr>
          <w:r>
            <w:rPr>
              <w:noProof/>
            </w:rPr>
            <w:t>Kontakty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_Toc71185518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:rsidR="002C07D0" w:rsidRDefault="008F178A">
          <w:pPr>
            <w:pStyle w:val="Nadpisobsahu"/>
            <w:rPr>
              <w:color w:val="14387F"/>
            </w:rPr>
          </w:pPr>
          <w:r>
            <w:rPr>
              <w:color w:val="14387F"/>
            </w:rPr>
            <w:fldChar w:fldCharType="end"/>
          </w:r>
        </w:p>
      </w:sdtContent>
    </w:sdt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2C07D0">
      <w:pPr>
        <w:rPr>
          <w:b/>
          <w:sz w:val="32"/>
          <w:szCs w:val="24"/>
          <w:lang w:eastAsia="cs-CZ"/>
        </w:rPr>
      </w:pPr>
    </w:p>
    <w:p w:rsidR="002C07D0" w:rsidRDefault="008F178A">
      <w:pPr>
        <w:pStyle w:val="Nadpis1"/>
        <w:numPr>
          <w:ilvl w:val="0"/>
          <w:numId w:val="0"/>
        </w:numPr>
        <w:ind w:left="431" w:hanging="431"/>
        <w:rPr>
          <w:lang w:eastAsia="cs-CZ"/>
        </w:rPr>
      </w:pPr>
      <w:r>
        <w:rPr>
          <w:lang w:eastAsia="cs-CZ"/>
        </w:rPr>
        <w:br w:type="column"/>
      </w:r>
      <w:bookmarkStart w:id="3" w:name="_Toc71185513"/>
      <w:r>
        <w:lastRenderedPageBreak/>
        <w:t>Shrnutí</w:t>
      </w:r>
      <w:bookmarkEnd w:id="3"/>
    </w:p>
    <w:p w:rsidR="002C07D0" w:rsidRDefault="008F178A">
      <w:pPr>
        <w:rPr>
          <w:lang w:eastAsia="cs-CZ"/>
        </w:rPr>
      </w:pPr>
      <w:r>
        <w:rPr>
          <w:lang w:eastAsia="cs-CZ"/>
        </w:rPr>
        <w:t>Úsek kvality ovzduší Českého hydrometeorologického ústavu (ČHMÚ), jakožto ústřední orgán České republiky pro obor ochrany čistoty ovzduší, vydává předběžnou zprávu týkající se zhodnocení úrovně znečištění ovzduší benzo[</w:t>
      </w:r>
      <w:r>
        <w:rPr>
          <w:i/>
          <w:lang w:eastAsia="cs-CZ"/>
        </w:rPr>
        <w:t>a</w:t>
      </w:r>
      <w:r>
        <w:rPr>
          <w:lang w:eastAsia="cs-CZ"/>
        </w:rPr>
        <w:t>]pyrenem, benzenem a těžkými kovy (arsen, kadmium, nikl a olovo) v roce 2020.</w:t>
      </w:r>
    </w:p>
    <w:p w:rsidR="002C07D0" w:rsidRDefault="008F178A">
      <w:r>
        <w:t xml:space="preserve">Znečištění ovzduší </w:t>
      </w:r>
      <w:r>
        <w:rPr>
          <w:b/>
        </w:rPr>
        <w:t>benzo[</w:t>
      </w:r>
      <w:r>
        <w:rPr>
          <w:b/>
          <w:i/>
        </w:rPr>
        <w:t>a</w:t>
      </w:r>
      <w:r>
        <w:rPr>
          <w:b/>
        </w:rPr>
        <w:t>]pyrenem</w:t>
      </w:r>
      <w:r>
        <w:t xml:space="preserve"> (BaP) patří k hlavním problémům kvality ovzduší v ČR. Do ovzduší se dostává především </w:t>
      </w:r>
      <w:r>
        <w:rPr>
          <w:b/>
        </w:rPr>
        <w:t>z lokálního vytápění domácností</w:t>
      </w:r>
      <w:r>
        <w:t>, které se na emisích benzo[</w:t>
      </w:r>
      <w:r>
        <w:rPr>
          <w:i/>
        </w:rPr>
        <w:t>a</w:t>
      </w:r>
      <w:r>
        <w:t xml:space="preserve">]pyrenu podílí v celorepublikovém měřítku okolo </w:t>
      </w:r>
      <w:r>
        <w:rPr>
          <w:b/>
        </w:rPr>
        <w:t>98 %</w:t>
      </w:r>
      <w:r>
        <w:t xml:space="preserve">. V roce 2020 </w:t>
      </w:r>
      <w:r>
        <w:rPr>
          <w:b/>
        </w:rPr>
        <w:t>překročily roční průměrné koncentrace benzo[</w:t>
      </w:r>
      <w:r>
        <w:rPr>
          <w:b/>
          <w:i/>
          <w:iCs/>
        </w:rPr>
        <w:t>a</w:t>
      </w:r>
      <w:r>
        <w:rPr>
          <w:b/>
        </w:rPr>
        <w:t>]pyrenu imisní limit na 40 %</w:t>
      </w:r>
      <w:r>
        <w:t xml:space="preserve"> </w:t>
      </w:r>
      <w:r>
        <w:rPr>
          <w:b/>
        </w:rPr>
        <w:t>stanic (</w:t>
      </w:r>
      <w:r>
        <w:t xml:space="preserve">tj. na 21 z celkového počtu 53 stanic). </w:t>
      </w:r>
      <w:r>
        <w:rPr>
          <w:b/>
        </w:rPr>
        <w:t>Nejvyšší</w:t>
      </w:r>
      <w:r>
        <w:t xml:space="preserve"> roční průměrné </w:t>
      </w:r>
      <w:r>
        <w:rPr>
          <w:b/>
        </w:rPr>
        <w:t>koncentrace benzo[</w:t>
      </w:r>
      <w:r>
        <w:rPr>
          <w:b/>
          <w:i/>
          <w:iCs/>
        </w:rPr>
        <w:t>a</w:t>
      </w:r>
      <w:r>
        <w:rPr>
          <w:b/>
        </w:rPr>
        <w:t>]pyrenu</w:t>
      </w:r>
      <w:r>
        <w:t xml:space="preserve"> jsou dlouhodobě zaznamenávány na území </w:t>
      </w:r>
      <w:r>
        <w:rPr>
          <w:b/>
        </w:rPr>
        <w:t>aglomerace Ostrava/Karviná/Frýdek-Místek</w:t>
      </w:r>
      <w:r w:rsidR="00EC49D9">
        <w:rPr>
          <w:b/>
        </w:rPr>
        <w:t xml:space="preserve"> </w:t>
      </w:r>
      <w:r>
        <w:rPr>
          <w:b/>
        </w:rPr>
        <w:t>(O/K/F-M)</w:t>
      </w:r>
      <w:r>
        <w:t xml:space="preserve">. Mimo aglomeraci O/K/F-M jsou ve spojitosti s hustou zástavbou rodinných domů s lokálními topeništi v okolí měřicí stanice zaznamenávány vyšší koncentrace BaP na Kladensku (stanice </w:t>
      </w:r>
      <w:r>
        <w:rPr>
          <w:b/>
        </w:rPr>
        <w:t>Kladno-Švermov</w:t>
      </w:r>
      <w:r>
        <w:t>). Nadlimitní hodnoty lze očekávat i </w:t>
      </w:r>
      <w:r>
        <w:rPr>
          <w:b/>
        </w:rPr>
        <w:t xml:space="preserve">v dalších obcích s vyšším podílem vytápění domácností pevnými palivy. </w:t>
      </w:r>
      <w:r>
        <w:t>Roční průměrné koncentrace BaP v průměru pro všechny stanice byly v roce 2020 nejnižší za hodnocené období 2010–2020, nicméně v mnoha městech a obcích zůstávají stále na nadlimitní úrovni. Oproti desetiletému průměru 2010–2019 došlo v roce 2020 k poklesu koncentrací BaP v průměru o cca 30 % (0,6 ng.m</w:t>
      </w:r>
      <w:r>
        <w:rPr>
          <w:vertAlign w:val="superscript"/>
        </w:rPr>
        <w:t>–3</w:t>
      </w:r>
      <w:r>
        <w:t xml:space="preserve">). </w:t>
      </w:r>
    </w:p>
    <w:p w:rsidR="002C07D0" w:rsidRDefault="008F178A">
      <w:r>
        <w:rPr>
          <w:b/>
        </w:rPr>
        <w:t>Ke zlepšení situace přispěly zejména velmi atypické meteorologické a rozptylové podmínky v únoru, kdy byly zaznamenány nejvýraznější poklesy měsíčních koncentrací BaP, a dále klesající spotřeba paliv díky rostoucím teplotám v zimních měsících v posledních letech. Na poklesu koncentrací BaP se také podílí realizovaná opatření ke zlepšení kvality ovzduší, zejména obnova kotlů v domácnostech.</w:t>
      </w:r>
    </w:p>
    <w:p w:rsidR="002C07D0" w:rsidRDefault="008F178A">
      <w:r>
        <w:rPr>
          <w:b/>
        </w:rPr>
        <w:t>Roční imisní limit benzenu</w:t>
      </w:r>
      <w:r>
        <w:t xml:space="preserve"> (5 µg.m</w:t>
      </w:r>
      <w:r>
        <w:rPr>
          <w:vertAlign w:val="superscript"/>
        </w:rPr>
        <w:t>–3</w:t>
      </w:r>
      <w:r>
        <w:t xml:space="preserve">) </w:t>
      </w:r>
      <w:r>
        <w:rPr>
          <w:b/>
        </w:rPr>
        <w:t>nebyl v roce 2020 překročen</w:t>
      </w:r>
      <w:r>
        <w:t xml:space="preserve"> na žádné z 36 stanic. Na žádné z 59 stanice nebyl překročen ani </w:t>
      </w:r>
      <w:r>
        <w:rPr>
          <w:b/>
        </w:rPr>
        <w:t>roční imisní limit arsenu</w:t>
      </w:r>
      <w:r>
        <w:t xml:space="preserve"> (6 ng.m</w:t>
      </w:r>
      <w:r>
        <w:rPr>
          <w:vertAlign w:val="superscript"/>
        </w:rPr>
        <w:t>–3</w:t>
      </w:r>
      <w:r>
        <w:t>),</w:t>
      </w:r>
      <w:r>
        <w:rPr>
          <w:b/>
        </w:rPr>
        <w:t xml:space="preserve"> kadmia</w:t>
      </w:r>
      <w:r>
        <w:t xml:space="preserve"> (5 ng.m</w:t>
      </w:r>
      <w:r>
        <w:rPr>
          <w:vertAlign w:val="superscript"/>
        </w:rPr>
        <w:t>–3</w:t>
      </w:r>
      <w:r>
        <w:t xml:space="preserve">), </w:t>
      </w:r>
      <w:r>
        <w:rPr>
          <w:b/>
        </w:rPr>
        <w:t xml:space="preserve">niklu </w:t>
      </w:r>
      <w:r>
        <w:t>(20 ng.m</w:t>
      </w:r>
      <w:r>
        <w:rPr>
          <w:vertAlign w:val="superscript"/>
        </w:rPr>
        <w:t>–3</w:t>
      </w:r>
      <w:r>
        <w:t>) a </w:t>
      </w:r>
      <w:r>
        <w:rPr>
          <w:b/>
        </w:rPr>
        <w:t>olova</w:t>
      </w:r>
      <w:r>
        <w:t xml:space="preserve"> (500 ng.m</w:t>
      </w:r>
      <w:r>
        <w:rPr>
          <w:vertAlign w:val="superscript"/>
        </w:rPr>
        <w:t>–3</w:t>
      </w:r>
      <w:r>
        <w:t>)</w:t>
      </w:r>
      <w:r>
        <w:rPr>
          <w:b/>
        </w:rPr>
        <w:t>.</w:t>
      </w:r>
    </w:p>
    <w:p w:rsidR="002C07D0" w:rsidRDefault="008F178A">
      <w:pPr>
        <w:rPr>
          <w:b/>
        </w:rPr>
      </w:pPr>
      <w:r>
        <w:t>Na základě předběžné analýzy dat z manuálního měřicího monitoringu, která doplňuje předběžnou analýzu dat z </w:t>
      </w:r>
      <w:r>
        <w:rPr>
          <w:rFonts w:eastAsia="Times New Roman"/>
        </w:rPr>
        <w:t>automatizovaného imisního monitoring</w:t>
      </w:r>
      <w:r w:rsidR="00EC49D9">
        <w:rPr>
          <w:rStyle w:val="Znakapoznpodarou"/>
          <w:lang w:eastAsia="cs-CZ"/>
        </w:rPr>
        <w:footnoteReference w:id="2"/>
      </w:r>
      <w:r>
        <w:t>, lze konstatovat, že v</w:t>
      </w:r>
      <w:r w:rsidR="00EC49D9">
        <w:t xml:space="preserve"> České republice v </w:t>
      </w:r>
      <w:r>
        <w:rPr>
          <w:b/>
        </w:rPr>
        <w:t>roce 2020 došlo ke zlepšení kvality ovzduší</w:t>
      </w:r>
      <w:r>
        <w:t>. Koncentrace látek znečišťujících ovzduší (suspendované částice PM</w:t>
      </w:r>
      <w:r>
        <w:rPr>
          <w:vertAlign w:val="subscript"/>
        </w:rPr>
        <w:t>10</w:t>
      </w:r>
      <w:r>
        <w:t xml:space="preserve"> a PM</w:t>
      </w:r>
      <w:r>
        <w:rPr>
          <w:vertAlign w:val="subscript"/>
        </w:rPr>
        <w:t>2,5</w:t>
      </w:r>
      <w:r>
        <w:t>, přízemní ozon (O</w:t>
      </w:r>
      <w:r>
        <w:rPr>
          <w:vertAlign w:val="subscript"/>
        </w:rPr>
        <w:t>3</w:t>
      </w:r>
      <w:r>
        <w:t>), oxid dusičitý (NO</w:t>
      </w:r>
      <w:r>
        <w:rPr>
          <w:vertAlign w:val="subscript"/>
        </w:rPr>
        <w:t>2</w:t>
      </w:r>
      <w:r>
        <w:t>), oxid siřičitý (SO</w:t>
      </w:r>
      <w:r>
        <w:rPr>
          <w:vertAlign w:val="subscript"/>
        </w:rPr>
        <w:t>2</w:t>
      </w:r>
      <w:r>
        <w:t>) i oxid uhelnatý (CO) v roce 2020 opět poklesly a za hodnocené období 2010–2020 dosáhly svých minim. Některé látky (PM</w:t>
      </w:r>
      <w:r>
        <w:rPr>
          <w:vertAlign w:val="subscript"/>
        </w:rPr>
        <w:t>10</w:t>
      </w:r>
      <w:r>
        <w:t>, PM</w:t>
      </w:r>
      <w:r>
        <w:rPr>
          <w:vertAlign w:val="subscript"/>
        </w:rPr>
        <w:t xml:space="preserve">2,5 </w:t>
      </w:r>
      <w:r w:rsidRPr="00EC49D9">
        <w:t>a </w:t>
      </w:r>
      <w:r>
        <w:t>NO</w:t>
      </w:r>
      <w:r>
        <w:rPr>
          <w:vertAlign w:val="subscript"/>
        </w:rPr>
        <w:t>2</w:t>
      </w:r>
      <w:r>
        <w:t>) dosáhly minim na většině měřicích stanic i za celou historii měření, tj. od 90. let 20. století v případě PM</w:t>
      </w:r>
      <w:r>
        <w:rPr>
          <w:vertAlign w:val="subscript"/>
        </w:rPr>
        <w:t>10</w:t>
      </w:r>
      <w:r>
        <w:t xml:space="preserve"> a NO</w:t>
      </w:r>
      <w:r>
        <w:rPr>
          <w:vertAlign w:val="subscript"/>
        </w:rPr>
        <w:t>2</w:t>
      </w:r>
      <w:r>
        <w:t>, od roku 2004 v případě PM</w:t>
      </w:r>
      <w:r>
        <w:rPr>
          <w:vertAlign w:val="subscript"/>
        </w:rPr>
        <w:t>2,5</w:t>
      </w:r>
      <w:r>
        <w:t xml:space="preserve">. Na většině stanic, kde je BaP dlouhodobě sledován, byly v roce 2020 zaznamenány nejnižší hodnoty průměrných ročních koncentrací za celou dobu měření. Nebyly překročeny výše zmíněné roční imisní limity pro arsen, nikl, kadmium, olovo a benzen. </w:t>
      </w:r>
    </w:p>
    <w:p w:rsidR="002C07D0" w:rsidRDefault="008F178A">
      <w:pPr>
        <w:rPr>
          <w:lang w:eastAsia="cs-CZ"/>
        </w:rPr>
      </w:pPr>
      <w:r>
        <w:rPr>
          <w:lang w:eastAsia="cs-CZ"/>
        </w:rPr>
        <w:lastRenderedPageBreak/>
        <w:t>I přes zlepšení imisní situace však stále dochází k překračování imisních limitů pro PM</w:t>
      </w:r>
      <w:r>
        <w:rPr>
          <w:vertAlign w:val="subscript"/>
          <w:lang w:eastAsia="cs-CZ"/>
        </w:rPr>
        <w:t>10</w:t>
      </w:r>
      <w:r>
        <w:rPr>
          <w:lang w:eastAsia="cs-CZ"/>
        </w:rPr>
        <w:t>, PM</w:t>
      </w:r>
      <w:r>
        <w:rPr>
          <w:vertAlign w:val="subscript"/>
          <w:lang w:eastAsia="cs-CZ"/>
        </w:rPr>
        <w:t>2,5</w:t>
      </w:r>
      <w:r>
        <w:rPr>
          <w:lang w:eastAsia="cs-CZ"/>
        </w:rPr>
        <w:t xml:space="preserve"> a BaP,</w:t>
      </w:r>
      <w:r w:rsidR="00EC49D9">
        <w:rPr>
          <w:lang w:eastAsia="cs-CZ"/>
        </w:rPr>
        <w:t xml:space="preserve"> </w:t>
      </w:r>
      <w:r>
        <w:rPr>
          <w:lang w:eastAsia="cs-CZ"/>
        </w:rPr>
        <w:t>u kterých jsou významným zdrojem emise z lokálního vytápění. V blízkosti silně frekventovaných silnic dochází k překračování imisního limitu NO</w:t>
      </w:r>
      <w:r>
        <w:rPr>
          <w:vertAlign w:val="subscript"/>
          <w:lang w:eastAsia="cs-CZ"/>
        </w:rPr>
        <w:t>2</w:t>
      </w:r>
      <w:r>
        <w:rPr>
          <w:lang w:eastAsia="cs-CZ"/>
        </w:rPr>
        <w:t>. Každoročně je překračován imisní limit pro přízemní ozon, jehož vznik je silně ovlivňován meteorologickými podmínkami, zejména teplotou a intenzitou slunečního záření a vzhledem k jejich rostoucímu trendu dochází ke zvýšení koncentrací přízemního ozonu v posledních několika letech.</w:t>
      </w:r>
    </w:p>
    <w:p w:rsidR="002C07D0" w:rsidRDefault="008F178A">
      <w:pPr>
        <w:pStyle w:val="Nadpis1"/>
        <w:spacing w:after="240"/>
      </w:pPr>
      <w:bookmarkStart w:id="4" w:name="_Toc71185514"/>
      <w:r>
        <w:t>Úvod</w:t>
      </w:r>
      <w:bookmarkEnd w:id="4"/>
    </w:p>
    <w:p w:rsidR="002C07D0" w:rsidRDefault="008F178A">
      <w:pPr>
        <w:rPr>
          <w:lang w:eastAsia="cs-CZ"/>
        </w:rPr>
      </w:pPr>
      <w:r>
        <w:t xml:space="preserve">Z důvodů procesu zpracování dat jsou </w:t>
      </w:r>
      <w:r>
        <w:rPr>
          <w:b/>
        </w:rPr>
        <w:t>do tohoto hodnocení zahrnuty pouze neverifikované údaje</w:t>
      </w:r>
      <w:r>
        <w:rPr>
          <w:rStyle w:val="FootnoteCharacters"/>
          <w:b/>
        </w:rPr>
        <w:footnoteReference w:id="3"/>
      </w:r>
      <w:r>
        <w:rPr>
          <w:b/>
        </w:rPr>
        <w:t xml:space="preserve"> ze stanic ČHMÚ a dalších přispěvatelů</w:t>
      </w:r>
      <w:r>
        <w:rPr>
          <w:rStyle w:val="Znakapoznpodarou"/>
          <w:b/>
        </w:rPr>
        <w:footnoteReference w:id="4"/>
      </w:r>
      <w:r>
        <w:t>,</w:t>
      </w:r>
      <w:r>
        <w:rPr>
          <w:lang w:eastAsia="cs-CZ"/>
        </w:rPr>
        <w:t xml:space="preserve"> dostupné v databázi ISKO ke dni 27. 4. 2021.</w:t>
      </w:r>
      <w:r>
        <w:t xml:space="preserve"> </w:t>
      </w:r>
      <w:r>
        <w:rPr>
          <w:lang w:eastAsia="cs-CZ"/>
        </w:rPr>
        <w:t>Tato zpráva doplňuje předchozí zprávu o předběžném zhodnocení kvality ovzduší a rozptylových podmínkách na území České republiky za rok 2020, do které nebylo možné zahrnout data znečišťujících látek, jejichž koncentrace jsou měřeny manuálními metodami, které jsou časově náročné na zpracování vzorků v laboratořích ČHMÚ a ostatních přispěvatelů</w:t>
      </w:r>
      <w:r w:rsidR="00392589" w:rsidRPr="00392589">
        <w:rPr>
          <w:vertAlign w:val="superscript"/>
          <w:lang w:eastAsia="cs-CZ"/>
        </w:rPr>
        <w:t>3</w:t>
      </w:r>
      <w:r>
        <w:rPr>
          <w:lang w:eastAsia="cs-CZ"/>
        </w:rPr>
        <w:t>. Hodnocení v této zprávě se týká benzo[</w:t>
      </w:r>
      <w:r>
        <w:rPr>
          <w:i/>
          <w:lang w:eastAsia="cs-CZ"/>
        </w:rPr>
        <w:t>a</w:t>
      </w:r>
      <w:r>
        <w:rPr>
          <w:lang w:eastAsia="cs-CZ"/>
        </w:rPr>
        <w:t>]pyrenu, benzenu a těžkých kovů (arsen, kadmium, nikl a olovo), které nelze sledovat pomocí automatizovaného imisního monitoringu.</w:t>
      </w:r>
    </w:p>
    <w:p w:rsidR="002C07D0" w:rsidRDefault="008F178A">
      <w:pPr>
        <w:pStyle w:val="Odstavecseseznamem"/>
        <w:ind w:left="0"/>
      </w:pPr>
      <w:r>
        <w:t>Verifikované koncentrace všech škodlivin, které mají legislativou stanovený imisní limit, naměřené na stanicích imisního monitoringu, budou vyhodnoceny v rámci tabelární a grafické ročenky ČHMÚ, které budou vydány během léta resp. podzimu 2021.</w:t>
      </w:r>
    </w:p>
    <w:p w:rsidR="002C07D0" w:rsidRDefault="008F178A">
      <w:pPr>
        <w:pStyle w:val="Odstavecseseznamem"/>
        <w:ind w:left="0"/>
        <w:rPr>
          <w:lang w:eastAsia="cs-CZ"/>
        </w:rPr>
      </w:pPr>
      <w:r>
        <w:rPr>
          <w:lang w:eastAsia="cs-CZ"/>
        </w:rPr>
        <w:t>Aktuální přehled počtu překročení imisních limitů znečišťujících látek je zveřejněn na internetových stránkách ČHMÚ</w:t>
      </w:r>
      <w:r>
        <w:rPr>
          <w:rStyle w:val="Znakapoznpodarou"/>
          <w:lang w:eastAsia="cs-CZ"/>
        </w:rPr>
        <w:footnoteReference w:id="5"/>
      </w:r>
      <w:r>
        <w:rPr>
          <w:lang w:eastAsia="cs-CZ"/>
        </w:rPr>
        <w:t>.</w:t>
      </w:r>
      <w:r>
        <w:rPr>
          <w:rStyle w:val="Znakapoznpodarou"/>
          <w:lang w:eastAsia="cs-CZ"/>
        </w:rPr>
        <w:t xml:space="preserve"> </w:t>
      </w:r>
      <w:r>
        <w:rPr>
          <w:lang w:eastAsia="cs-CZ"/>
        </w:rPr>
        <w:t>Další detailnější informace podají zájemcům územně příslušná pracoviště ČHMÚ (viz kontakty na konci dokumentu).</w:t>
      </w:r>
    </w:p>
    <w:p w:rsidR="002C07D0" w:rsidRDefault="002C07D0">
      <w:pPr>
        <w:rPr>
          <w:lang w:eastAsia="cs-CZ"/>
        </w:rPr>
      </w:pPr>
    </w:p>
    <w:p w:rsidR="002C07D0" w:rsidRDefault="008F178A">
      <w:pPr>
        <w:spacing w:after="0" w:line="240" w:lineRule="auto"/>
        <w:jc w:val="left"/>
        <w:rPr>
          <w:lang w:eastAsia="cs-CZ"/>
        </w:rPr>
      </w:pPr>
      <w:r>
        <w:rPr>
          <w:lang w:eastAsia="cs-CZ"/>
        </w:rPr>
        <w:br w:type="page"/>
      </w:r>
    </w:p>
    <w:p w:rsidR="002C07D0" w:rsidRDefault="008F178A">
      <w:pPr>
        <w:pStyle w:val="Nadpis1"/>
        <w:spacing w:after="240"/>
      </w:pPr>
      <w:bookmarkStart w:id="5" w:name="_Toc71185515"/>
      <w:r>
        <w:lastRenderedPageBreak/>
        <w:t>Benzo[</w:t>
      </w:r>
      <w:r>
        <w:rPr>
          <w:i/>
        </w:rPr>
        <w:t>a</w:t>
      </w:r>
      <w:r>
        <w:t>]pyren</w:t>
      </w:r>
      <w:bookmarkEnd w:id="5"/>
    </w:p>
    <w:p w:rsidR="002C07D0" w:rsidRDefault="008F178A">
      <w:r>
        <w:t xml:space="preserve">Znečištění ovzduší </w:t>
      </w:r>
      <w:r>
        <w:rPr>
          <w:b/>
        </w:rPr>
        <w:t>benzo[</w:t>
      </w:r>
      <w:r>
        <w:rPr>
          <w:b/>
          <w:i/>
        </w:rPr>
        <w:t>a</w:t>
      </w:r>
      <w:r>
        <w:rPr>
          <w:b/>
        </w:rPr>
        <w:t>]pyrenem</w:t>
      </w:r>
      <w:r>
        <w:t xml:space="preserve"> patří k hlavním problémům kvality ovzduší v ČR. Do ovzduší se tato škodlivina dostává především </w:t>
      </w:r>
      <w:r>
        <w:rPr>
          <w:b/>
        </w:rPr>
        <w:t>z lokálního vytápění domácností</w:t>
      </w:r>
      <w:r>
        <w:t>, které se na celkových emisích benzo[</w:t>
      </w:r>
      <w:r>
        <w:rPr>
          <w:i/>
        </w:rPr>
        <w:t>a</w:t>
      </w:r>
      <w:r>
        <w:t xml:space="preserve">]pyrenu v celorepublikovém měřítku </w:t>
      </w:r>
      <w:r>
        <w:rPr>
          <w:b/>
        </w:rPr>
        <w:t>podílí více než 98 %</w:t>
      </w:r>
      <w:r>
        <w:t xml:space="preserve">. Necelé 2 % emisí pochází z dopravy a z průmyslových zdrojů na Ostravsku. Hlavní příčinou vysokého podílu emisí z lokálního vytápění domácností je </w:t>
      </w:r>
      <w:r>
        <w:rPr>
          <w:b/>
        </w:rPr>
        <w:t>spalování pevných paliv</w:t>
      </w:r>
      <w:r>
        <w:t xml:space="preserve">, především uhlí, v kotlích starších typů (odhořívací, prohořívací). </w:t>
      </w:r>
    </w:p>
    <w:p w:rsidR="002C07D0" w:rsidRDefault="008F178A">
      <w:r>
        <w:t>Benzo[</w:t>
      </w:r>
      <w:r>
        <w:rPr>
          <w:i/>
        </w:rPr>
        <w:t>a</w:t>
      </w:r>
      <w:r>
        <w:t xml:space="preserve">]pyren má prokazatelně karcinogenní účinky a jeho </w:t>
      </w:r>
      <w:r>
        <w:rPr>
          <w:b/>
        </w:rPr>
        <w:t>roční imisní limit je 1 ng.m</w:t>
      </w:r>
      <w:r>
        <w:rPr>
          <w:b/>
          <w:vertAlign w:val="superscript"/>
        </w:rPr>
        <w:t>–3</w:t>
      </w:r>
      <w:r>
        <w:t xml:space="preserve">. V roce 2020 </w:t>
      </w:r>
      <w:r>
        <w:rPr>
          <w:b/>
        </w:rPr>
        <w:t>překročily roční průměrné koncentrace benzo[</w:t>
      </w:r>
      <w:r>
        <w:rPr>
          <w:b/>
          <w:i/>
          <w:iCs/>
        </w:rPr>
        <w:t>a</w:t>
      </w:r>
      <w:r>
        <w:rPr>
          <w:b/>
        </w:rPr>
        <w:t>]pyrenu imisní limit na 40 %</w:t>
      </w:r>
      <w:r>
        <w:t xml:space="preserve"> </w:t>
      </w:r>
      <w:r>
        <w:rPr>
          <w:b/>
        </w:rPr>
        <w:t>stanic</w:t>
      </w:r>
      <w:r>
        <w:t>,</w:t>
      </w:r>
      <w:r>
        <w:rPr>
          <w:b/>
        </w:rPr>
        <w:t xml:space="preserve"> </w:t>
      </w:r>
      <w:r>
        <w:t>tj. na 21 z celkového počtu 53 stanic s dostatečným počtem měření pro hodnocení, tj. 90% pokrytím daty (</w:t>
      </w:r>
      <w:r>
        <w:fldChar w:fldCharType="begin"/>
      </w:r>
      <w:r>
        <w:instrText xml:space="preserve"> REF _Ref70575570 \h  \* MERGEFORMAT </w:instrText>
      </w:r>
      <w:r>
        <w:fldChar w:fldCharType="separate"/>
      </w:r>
      <w:r>
        <w:t>Obr. 1</w:t>
      </w:r>
      <w:r>
        <w:fldChar w:fldCharType="end"/>
      </w:r>
      <w:r>
        <w:t xml:space="preserve">). </w:t>
      </w:r>
    </w:p>
    <w:p w:rsidR="002C07D0" w:rsidRDefault="008F178A">
      <w:r>
        <w:rPr>
          <w:noProof/>
          <w:lang w:eastAsia="cs-CZ"/>
        </w:rPr>
        <w:drawing>
          <wp:inline distT="0" distB="0" distL="0" distR="0">
            <wp:extent cx="6116320" cy="4477385"/>
            <wp:effectExtent l="0" t="0" r="0" b="0"/>
            <wp:docPr id="2" name="obrázek 1" descr="BaP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BaP_mapa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11632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6" w:name="_Ref70575570"/>
      <w:r>
        <w:t xml:space="preserve">Obr. </w:t>
      </w:r>
      <w:fldSimple w:instr=" SEQ Obr. \* ARABIC ">
        <w:r>
          <w:t>1</w:t>
        </w:r>
      </w:fldSimple>
      <w:bookmarkEnd w:id="6"/>
      <w:r>
        <w:t xml:space="preserve"> Roční průměrné koncentrace benzo[a]pyrenu v ČR, 2020</w:t>
      </w:r>
    </w:p>
    <w:p w:rsidR="002C07D0" w:rsidRDefault="002C07D0"/>
    <w:p w:rsidR="002C07D0" w:rsidRDefault="008F178A" w:rsidP="000D59CD">
      <w:r>
        <w:rPr>
          <w:b/>
        </w:rPr>
        <w:t>Nejvyšší</w:t>
      </w:r>
      <w:r>
        <w:t xml:space="preserve"> roční průměrné </w:t>
      </w:r>
      <w:r>
        <w:rPr>
          <w:b/>
        </w:rPr>
        <w:t>koncentrace benzo[</w:t>
      </w:r>
      <w:r>
        <w:rPr>
          <w:b/>
          <w:i/>
          <w:iCs/>
        </w:rPr>
        <w:t>a</w:t>
      </w:r>
      <w:r>
        <w:rPr>
          <w:b/>
        </w:rPr>
        <w:t>]pyrenu</w:t>
      </w:r>
      <w:r>
        <w:t xml:space="preserve"> jsou dlouhodobě zaznamenávány na celém území </w:t>
      </w:r>
      <w:r>
        <w:rPr>
          <w:b/>
        </w:rPr>
        <w:t>aglomerace Ostrava/Karviná/Frýdek-Místek</w:t>
      </w:r>
      <w:r>
        <w:t xml:space="preserve"> </w:t>
      </w:r>
      <w:r>
        <w:rPr>
          <w:b/>
        </w:rPr>
        <w:t>(O/K/F-M)</w:t>
      </w:r>
      <w:r>
        <w:t xml:space="preserve"> v důsledku nejvyššího emisního zatížení v rámci ČR (z různých typů zdrojů) a vlivu přeshraničního přenosu z Polska. Stejně jako v minulých letech, i v roce 2020 byla nejvyšší hodnota roční průměrné koncentrace BaP (7,7 ng.m</w:t>
      </w:r>
      <w:r>
        <w:rPr>
          <w:vertAlign w:val="superscript"/>
        </w:rPr>
        <w:t>–3</w:t>
      </w:r>
      <w:r>
        <w:t>) zaznamenána na průmyslové stanici Ostrava-Radvanice ZÚ (</w:t>
      </w:r>
      <w:r>
        <w:fldChar w:fldCharType="begin"/>
      </w:r>
      <w:r>
        <w:instrText xml:space="preserve"> REF _Ref40703121 \h  \* MERGEFORMAT </w:instrText>
      </w:r>
      <w:r>
        <w:fldChar w:fldCharType="separate"/>
      </w:r>
      <w:r>
        <w:t>Obr. 2</w:t>
      </w:r>
      <w:r>
        <w:fldChar w:fldCharType="end"/>
      </w:r>
      <w:r>
        <w:t xml:space="preserve">). Kromě každoročního měření BaP na stanicích státního imisního monitoringu jsou v této oblasti také proměřovány další </w:t>
      </w:r>
      <w:r>
        <w:lastRenderedPageBreak/>
        <w:t>lokality s využitím dotace z rozpočtu Moravskoslezského kraje. V roce 2020 bylo sledováno znečištění ovzduší v obcích</w:t>
      </w:r>
      <w:r w:rsidR="000D59CD">
        <w:t xml:space="preserve"> Mizerov</w:t>
      </w:r>
      <w:r w:rsidR="0095447A">
        <w:rPr>
          <w:rStyle w:val="Znakapoznpodarou"/>
        </w:rPr>
        <w:footnoteReference w:id="6"/>
      </w:r>
      <w:r w:rsidR="000D59CD">
        <w:t xml:space="preserve">, </w:t>
      </w:r>
      <w:r>
        <w:t>Věřňovice</w:t>
      </w:r>
      <w:r w:rsidR="000D59CD">
        <w:rPr>
          <w:rStyle w:val="Znakapoznpodarou"/>
        </w:rPr>
        <w:t>5</w:t>
      </w:r>
      <w:r>
        <w:t>,</w:t>
      </w:r>
      <w:r w:rsidR="000D59CD">
        <w:t xml:space="preserve"> Chotěbuz, Ostrava-Hošťálkovice a Opava-Komárov, </w:t>
      </w:r>
      <w:r>
        <w:t xml:space="preserve">kde byly zjištěny </w:t>
      </w:r>
      <w:r w:rsidR="000D59CD">
        <w:t>nadlimitní</w:t>
      </w:r>
      <w:r>
        <w:t xml:space="preserve"> koncentrace BaP</w:t>
      </w:r>
      <w:r w:rsidR="000D59CD">
        <w:t xml:space="preserve"> a v některých případech i jedny z nejvyšších v Česku (</w:t>
      </w:r>
      <w:r w:rsidR="00E01E5C">
        <w:t xml:space="preserve">Věřňovice, </w:t>
      </w:r>
      <w:r w:rsidR="000D59CD">
        <w:t>M</w:t>
      </w:r>
      <w:r w:rsidR="00E01E5C">
        <w:t>i</w:t>
      </w:r>
      <w:r w:rsidR="000D59CD">
        <w:t>zerov</w:t>
      </w:r>
      <w:r w:rsidR="00E01E5C">
        <w:t xml:space="preserve"> a Chotěbuz)</w:t>
      </w:r>
      <w:r>
        <w:t>. V roce 2020 bylo provedeno také celo</w:t>
      </w:r>
      <w:r w:rsidR="000D59CD">
        <w:t>roční měření BaP v obci Bolatice v rámci výzkumných činností ČHMÚ</w:t>
      </w:r>
      <w:r>
        <w:t xml:space="preserve">, kde byla naměřena třetí nejvyšší roční průměrná koncentrace BaP v ČR. </w:t>
      </w:r>
      <w:r w:rsidR="000D59CD">
        <w:t>Výsledky naměřené na zmíněných lokalitách Moravskoslezského kraje v roce 2020 potvrdily modelové údaje o plošném rozložení koncentrací suspendovaných částic a benzo[</w:t>
      </w:r>
      <w:r w:rsidR="000D59CD" w:rsidRPr="0095447A">
        <w:rPr>
          <w:i/>
        </w:rPr>
        <w:t>a</w:t>
      </w:r>
      <w:r w:rsidR="000D59CD">
        <w:t xml:space="preserve">]pyrenu v oblasti česko-polské hranice. Zvláště </w:t>
      </w:r>
      <w:r>
        <w:t xml:space="preserve">v případě koncentrací BaP v zájmové příhraniční česko-polské oblasti dominuje znečištění na přilehlé polské části území jižního Slezska. Vliv přeshraničního přenosu znečištění se nejvýrazněji projevuje v koncentračních úrovních měřených v údolních lokalitách pohraničních řek, které jsou srovnatelné s průmyslovými lokalitami v Ostravě. Koncentrační gradient mezi polskými a českými lokalitami situaci </w:t>
      </w:r>
      <w:r w:rsidR="000D59CD" w:rsidRPr="000D59CD">
        <w:t>jasně dokume</w:t>
      </w:r>
      <w:r w:rsidR="000D59CD">
        <w:t>n</w:t>
      </w:r>
      <w:r w:rsidR="000D59CD" w:rsidRPr="000D59CD">
        <w:t>tuje zpráva Č</w:t>
      </w:r>
      <w:r w:rsidR="000D59CD">
        <w:t>HMÚ o měření ve zmíněné oblasti</w:t>
      </w:r>
      <w:r w:rsidR="000D59CD" w:rsidRPr="000D59CD">
        <w:rPr>
          <w:vertAlign w:val="superscript"/>
        </w:rPr>
        <w:t>5</w:t>
      </w:r>
      <w:r>
        <w:t>.</w:t>
      </w:r>
      <w:r w:rsidR="009525AF" w:rsidRPr="009525AF">
        <w:t xml:space="preserve"> </w:t>
      </w:r>
    </w:p>
    <w:p w:rsidR="002C07D0" w:rsidRDefault="008F178A">
      <w:r>
        <w:t xml:space="preserve">Mimo aglomeraci O/K/F-M jsou ve spojitosti s hustou zástavbou rodinných domů s lokálními topeništi v okolí měřicí </w:t>
      </w:r>
      <w:r w:rsidR="00864853">
        <w:t>stanice</w:t>
      </w:r>
      <w:r>
        <w:t xml:space="preserve"> zaznamenávány vyšší koncentrace BaP na Kladensku (stanice </w:t>
      </w:r>
      <w:r>
        <w:rPr>
          <w:b/>
        </w:rPr>
        <w:t>Kladno-Švermov</w:t>
      </w:r>
      <w:r>
        <w:t>). Nadlimitní hodnoty lze očekávat i </w:t>
      </w:r>
      <w:r>
        <w:rPr>
          <w:b/>
        </w:rPr>
        <w:t>v dalších obcích s vyšším podílem vytápění domácností pevnými palivy</w:t>
      </w:r>
      <w:r>
        <w:t>, kde se BaP rutinně neměří. Toto dokládá např. měření BaP v Havlovicích v Královehradeckém kraji s roční průměrnou koncentrací BaP 2,2 ng.m</w:t>
      </w:r>
      <w:r>
        <w:rPr>
          <w:vertAlign w:val="superscript"/>
        </w:rPr>
        <w:t>–3</w:t>
      </w:r>
      <w:r>
        <w:t>, která je více než dvakrát vyšší než imisní limit.</w:t>
      </w:r>
    </w:p>
    <w:p w:rsidR="002C07D0" w:rsidRDefault="008F178A">
      <w:r>
        <w:t xml:space="preserve">Naopak </w:t>
      </w:r>
      <w:r>
        <w:rPr>
          <w:b/>
        </w:rPr>
        <w:t>nižší</w:t>
      </w:r>
      <w:r>
        <w:t xml:space="preserve"> roční průměrné </w:t>
      </w:r>
      <w:r>
        <w:rPr>
          <w:b/>
        </w:rPr>
        <w:t>koncentrace BaP</w:t>
      </w:r>
      <w:r>
        <w:t xml:space="preserve"> jsou zaznamenávány v Jihomoravském kraji a v kraji Vysočina. Podlimitní hodnoty koncentrací BaP jsou zaznamenávány i </w:t>
      </w:r>
      <w:r>
        <w:rPr>
          <w:b/>
        </w:rPr>
        <w:t>ve velkých městech</w:t>
      </w:r>
      <w:r>
        <w:t xml:space="preserve"> (Praha, Brno, Plzeň, České Budějovice), tedy ve městech s </w:t>
      </w:r>
      <w:r>
        <w:rPr>
          <w:b/>
        </w:rPr>
        <w:t>vysokým podílem dálkového centrálního vytápění</w:t>
      </w:r>
      <w:r>
        <w:t xml:space="preserve">. Nejnižší průměrné roční koncentrace BaP byly naměřeny na regionální stanici </w:t>
      </w:r>
      <w:r>
        <w:rPr>
          <w:b/>
        </w:rPr>
        <w:t>Košetice (0,3 ng.m</w:t>
      </w:r>
      <w:r>
        <w:rPr>
          <w:b/>
          <w:vertAlign w:val="superscript"/>
        </w:rPr>
        <w:t>–3</w:t>
      </w:r>
      <w:r>
        <w:rPr>
          <w:b/>
        </w:rPr>
        <w:t>)</w:t>
      </w:r>
      <w:r>
        <w:t>,</w:t>
      </w:r>
      <w:r>
        <w:rPr>
          <w:b/>
        </w:rPr>
        <w:t xml:space="preserve"> </w:t>
      </w:r>
      <w:r>
        <w:t>která monitoruje pozaďové koncentrace znečišťujících látek v ČR. Regionální lokality nejsou přímo ovlivněny místními emisními zdroji, ale jsou ovlivňovány pouze dálkovým transportem znečišťujících látek v kombinaci s meteorologickými a rozptylovými podmínkami. Nízké koncentrace BaP lze tedy očekávat</w:t>
      </w:r>
      <w:r>
        <w:rPr>
          <w:b/>
        </w:rPr>
        <w:t xml:space="preserve"> </w:t>
      </w:r>
      <w:r w:rsidRPr="00864853">
        <w:t>i</w:t>
      </w:r>
      <w:r>
        <w:rPr>
          <w:b/>
        </w:rPr>
        <w:t> </w:t>
      </w:r>
      <w:r>
        <w:t>v místech vzdálených od přímého působení emisních zdrojů a na dobře provětrávaných lokalitách (přírodní horské oblasti).</w:t>
      </w:r>
    </w:p>
    <w:p w:rsidR="002C07D0" w:rsidRDefault="008F178A">
      <w:pPr>
        <w:spacing w:after="0" w:line="240" w:lineRule="auto"/>
        <w:jc w:val="left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116320" cy="8065770"/>
            <wp:effectExtent l="0" t="0" r="0" b="0"/>
            <wp:docPr id="3" name="obrázek 2" descr="20_BaP_graf_sloupce_legend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20_BaP_graf_sloupce_legenda_CZ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1632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7D0" w:rsidRDefault="002C07D0">
      <w:pPr>
        <w:spacing w:after="0" w:line="240" w:lineRule="auto"/>
        <w:jc w:val="left"/>
        <w:rPr>
          <w:lang w:eastAsia="cs-CZ"/>
        </w:rPr>
      </w:pPr>
    </w:p>
    <w:p w:rsidR="002C07D0" w:rsidRDefault="008F178A">
      <w:pPr>
        <w:pStyle w:val="Titulek"/>
      </w:pPr>
      <w:bookmarkStart w:id="7" w:name="_Ref40703121"/>
      <w:r>
        <w:t xml:space="preserve">Obr. </w:t>
      </w:r>
      <w:fldSimple w:instr=" SEQ Obr. \* ARABIC ">
        <w:r>
          <w:t>2</w:t>
        </w:r>
      </w:fldSimple>
      <w:bookmarkEnd w:id="7"/>
      <w:r>
        <w:t xml:space="preserve"> Roční průměrné koncentrace benzo[a]pyrenu na měřicích stanicích, 2020</w:t>
      </w:r>
    </w:p>
    <w:p w:rsidR="002C07D0" w:rsidRDefault="002C07D0"/>
    <w:p w:rsidR="002C07D0" w:rsidRDefault="008F178A">
      <w:pPr>
        <w:spacing w:after="0" w:line="240" w:lineRule="auto"/>
        <w:jc w:val="left"/>
        <w:rPr>
          <w:b/>
        </w:rPr>
      </w:pPr>
      <w:r>
        <w:rPr>
          <w:b/>
        </w:rPr>
        <w:br w:type="page"/>
      </w:r>
    </w:p>
    <w:p w:rsidR="002C07D0" w:rsidRDefault="008F178A">
      <w:r>
        <w:rPr>
          <w:b/>
        </w:rPr>
        <w:lastRenderedPageBreak/>
        <w:t>Koncentrace benzo[</w:t>
      </w:r>
      <w:r>
        <w:rPr>
          <w:b/>
          <w:i/>
        </w:rPr>
        <w:t>a</w:t>
      </w:r>
      <w:r>
        <w:rPr>
          <w:b/>
        </w:rPr>
        <w:t>]pyrenu vykazují výrazný roční chod</w:t>
      </w:r>
      <w:r>
        <w:t xml:space="preserve"> s maximy v zimním období (</w:t>
      </w:r>
      <w:r>
        <w:fldChar w:fldCharType="begin"/>
      </w:r>
      <w:r>
        <w:instrText xml:space="preserve"> REF _Ref40703132 \h  \* MERGEFORMAT </w:instrText>
      </w:r>
      <w:r>
        <w:fldChar w:fldCharType="separate"/>
      </w:r>
      <w:r>
        <w:t>Obr. 3 a Obr. 4</w:t>
      </w:r>
      <w:r>
        <w:fldChar w:fldCharType="end"/>
      </w:r>
      <w:r w:rsidR="008053F9">
        <w:t xml:space="preserve">), </w:t>
      </w:r>
      <w:r>
        <w:t xml:space="preserve">které souvisejí zejména s emisemi ze sezónních antropogenních zdrojů – z lokálních topenišť a se zhoršenými rozptylovými podmínkami. Na základě porovnání měsíčních průměrů koncentrací BaP s desetiletým průměrem (2010–2019) lze říci, že průměrné měsíční koncentrace na městských a předměstských pozaďových stanicích byly nižší ve všech měsících roku. Na hodnotu roční průměrné koncentrace BaP, která má stanovený imisní limit, mají největší vliv úrovně koncentrací v měsících během chladného období roku, zatímco v letních měsících jsou na pozaďových stanicích koncentrace BaP minimální. </w:t>
      </w:r>
      <w:r>
        <w:rPr>
          <w:b/>
        </w:rPr>
        <w:t>Výrazný pokles koncentrací BaP (téměř o 3,2 ng.m</w:t>
      </w:r>
      <w:r>
        <w:rPr>
          <w:b/>
          <w:vertAlign w:val="superscript"/>
        </w:rPr>
        <w:t>–3</w:t>
      </w:r>
      <w:r w:rsidR="008053F9">
        <w:rPr>
          <w:b/>
        </w:rPr>
        <w:t>, tj. 80 %</w:t>
      </w:r>
      <w:r>
        <w:rPr>
          <w:b/>
        </w:rPr>
        <w:t xml:space="preserve">) </w:t>
      </w:r>
      <w:r>
        <w:t>na městských a předměstských pozaďových stanicích</w:t>
      </w:r>
      <w:r>
        <w:rPr>
          <w:b/>
        </w:rPr>
        <w:t xml:space="preserve"> byl zaznamenán v únoru, díky velmi atypickým meteorologickým podmínkám v tomto měsíci. </w:t>
      </w:r>
      <w:r>
        <w:t>Tento měsíc byl z pohledu vlivu meteorologických podmínek velmi neobvyklý: převažovaly dobré rozptylové podmínky, mimořádně nadprůměrné teploty a nadnormální výskyt srážek, tj. kombinace tří zásadních faktorů silně snižující úroveň polutantů v ovzduší. Výrazně nižší měsíční koncentrace BaP oproti dlouhodobému průměru byly zaznamenány i v měsících lednu (1,5 ng.m</w:t>
      </w:r>
      <w:r>
        <w:rPr>
          <w:vertAlign w:val="superscript"/>
        </w:rPr>
        <w:t>–3</w:t>
      </w:r>
      <w:r>
        <w:t>, tj. 34 %), říjnu (0,9 ng.m</w:t>
      </w:r>
      <w:r>
        <w:rPr>
          <w:vertAlign w:val="superscript"/>
        </w:rPr>
        <w:t>–3</w:t>
      </w:r>
      <w:r>
        <w:t>, tj. 48 %) a listopadu (1,3 ng.m</w:t>
      </w:r>
      <w:r>
        <w:rPr>
          <w:vertAlign w:val="superscript"/>
        </w:rPr>
        <w:t>–</w:t>
      </w:r>
      <w:r w:rsidRPr="008053F9">
        <w:rPr>
          <w:vertAlign w:val="superscript"/>
        </w:rPr>
        <w:t>3</w:t>
      </w:r>
      <w:r>
        <w:t>, tj. 44 %).</w:t>
      </w:r>
      <w:r>
        <w:rPr>
          <w:b/>
        </w:rPr>
        <w:t xml:space="preserve"> </w:t>
      </w:r>
      <w:r>
        <w:t>Měsíční koncentrace BaP</w:t>
      </w:r>
      <w:r>
        <w:rPr>
          <w:b/>
        </w:rPr>
        <w:t xml:space="preserve"> v </w:t>
      </w:r>
      <w:r>
        <w:t>prosinci na pozaďových stanicích byla nižší pouze o 0,3 ng.m</w:t>
      </w:r>
      <w:r>
        <w:rPr>
          <w:vertAlign w:val="superscript"/>
        </w:rPr>
        <w:t>–3</w:t>
      </w:r>
      <w:r>
        <w:t xml:space="preserve"> (cca 12 %) a to zejména kvůli zvýšeným měsíčním hodnotám BaP na stanicích v aglomeraci O/K/F-M (Obr. 4). Roční chod měsíčních koncentrací na regionální stanici Košetice je podobný jako na předměstských a městských stanicích, ale s výrazně nižšími hodnotami koncentrací BaP. </w:t>
      </w:r>
    </w:p>
    <w:p w:rsidR="002C07D0" w:rsidRDefault="008F178A">
      <w:r>
        <w:rPr>
          <w:noProof/>
          <w:lang w:eastAsia="cs-CZ"/>
        </w:rPr>
        <w:drawing>
          <wp:inline distT="0" distB="0" distL="0" distR="0">
            <wp:extent cx="5896768" cy="2172614"/>
            <wp:effectExtent l="0" t="0" r="8890" b="0"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899756" cy="21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r>
        <w:t xml:space="preserve">Obr. </w:t>
      </w:r>
      <w:fldSimple w:instr=" SEQ Obr. \* ARABIC ">
        <w:r>
          <w:t>3</w:t>
        </w:r>
      </w:fldSimple>
      <w:r>
        <w:t xml:space="preserve"> Roční chod průměrných měsíčních koncentrací benzo[a]pyrenu na stanicích v ČR, 2020 a v průměru let  2010–2019</w:t>
      </w:r>
    </w:p>
    <w:p w:rsidR="002C07D0" w:rsidRDefault="002C07D0">
      <w:pPr>
        <w:pStyle w:val="Titulek"/>
      </w:pPr>
    </w:p>
    <w:p w:rsidR="002C07D0" w:rsidRDefault="008F178A">
      <w:r>
        <w:t xml:space="preserve">Na </w:t>
      </w:r>
      <w:r>
        <w:fldChar w:fldCharType="begin"/>
      </w:r>
      <w:r>
        <w:instrText xml:space="preserve"> REF _Ref40703132 \h  \* MERGEFORMAT </w:instrText>
      </w:r>
      <w:r>
        <w:fldChar w:fldCharType="separate"/>
      </w:r>
      <w:r>
        <w:t>Obr. 4</w:t>
      </w:r>
      <w:r>
        <w:fldChar w:fldCharType="end"/>
      </w:r>
      <w:r>
        <w:t xml:space="preserve"> je znázorněn roční chod na průmyslových stanicích Ostrava-Přívoz a Ostrava-Radvanice, kde se kromě přeshraničního přenosu znečištění, typického pro celou oblast Ostravsko-Karvinska, projevuje enormní emisní zátěž kombinace emisních zdrojů pocházejících z lokálního vytápění a z průmyslu.</w:t>
      </w:r>
      <w:r w:rsidR="005D5932">
        <w:t xml:space="preserve"> </w:t>
      </w:r>
      <w:r w:rsidR="007957E0">
        <w:t>K</w:t>
      </w:r>
      <w:r w:rsidR="005D5932" w:rsidRPr="005D5932">
        <w:t>oncentrace nad 1 ng.m</w:t>
      </w:r>
      <w:r w:rsidR="005D5932" w:rsidRPr="007957E0">
        <w:rPr>
          <w:vertAlign w:val="superscript"/>
        </w:rPr>
        <w:t>-3</w:t>
      </w:r>
      <w:r w:rsidR="005D5932" w:rsidRPr="005D5932">
        <w:t xml:space="preserve"> se zde vyskytují v průběhu celého roku, včetně letních měsíců</w:t>
      </w:r>
      <w:r w:rsidR="007957E0">
        <w:t xml:space="preserve">, což dokládá </w:t>
      </w:r>
      <w:r w:rsidR="007957E0" w:rsidRPr="007957E0">
        <w:t>celoroční vliv emisí z průmyslu v těchto oblastech</w:t>
      </w:r>
      <w:r w:rsidR="007957E0">
        <w:t xml:space="preserve">. </w:t>
      </w:r>
      <w:r>
        <w:t xml:space="preserve"> Na stanici Ostrava-Přívoz byl zaznamenán výrazný propad měsíčních koncentrací v zimních měsících na počátku roku a měsíční průměrné koncentrace BaP byly ve všech měsících, vyjma prosince, nižší než je dlouhodobý průměr. Hodnoty měsíčních koncentrací BaP na stanici Ostrava-Radvanice jsou několikanásobně vyšší než na </w:t>
      </w:r>
      <w:r w:rsidR="005D5932">
        <w:t>stanici Ostrava-Přívoz</w:t>
      </w:r>
      <w:r>
        <w:t xml:space="preserve"> a oproti dlouhodobému průměru kolísají. Největší pokles koncentrací BaP oproti dlouhodobému průměru byl zaznamenán v lednu (7,4 ng.m</w:t>
      </w:r>
      <w:r>
        <w:rPr>
          <w:vertAlign w:val="superscript"/>
        </w:rPr>
        <w:t>–3</w:t>
      </w:r>
      <w:r>
        <w:t>, tj. o 39 % nižší), v únoru byl pokles méně výrazný oproti jiným stanicím (3,3 ng.m</w:t>
      </w:r>
      <w:r>
        <w:rPr>
          <w:vertAlign w:val="superscript"/>
        </w:rPr>
        <w:t>–3</w:t>
      </w:r>
      <w:r>
        <w:t xml:space="preserve">, tj. 21 %) </w:t>
      </w:r>
      <w:r>
        <w:lastRenderedPageBreak/>
        <w:t>a v březnu (4,3 ng.m</w:t>
      </w:r>
      <w:r>
        <w:rPr>
          <w:vertAlign w:val="superscript"/>
        </w:rPr>
        <w:t>–3</w:t>
      </w:r>
      <w:r>
        <w:t>, tj. 33 %). Naopak největší nárůst koncentrací byl zaznamenán v dubnu (o 1,7 ng.m</w:t>
      </w:r>
      <w:r>
        <w:rPr>
          <w:vertAlign w:val="superscript"/>
        </w:rPr>
        <w:t>–3</w:t>
      </w:r>
      <w:r w:rsidR="008053F9">
        <w:t>, tj. 34 %) květnu (1,3</w:t>
      </w:r>
      <w:r>
        <w:t> ng.m</w:t>
      </w:r>
      <w:r>
        <w:rPr>
          <w:vertAlign w:val="superscript"/>
        </w:rPr>
        <w:t>–3</w:t>
      </w:r>
      <w:r>
        <w:t>, tj. 46 %).</w:t>
      </w:r>
    </w:p>
    <w:p w:rsidR="002C07D0" w:rsidRDefault="008F178A">
      <w:r>
        <w:t>V prosinci na obou stanicích, stejně jako na ostatních stanicích v aglomeraci O/K/F-M</w:t>
      </w:r>
      <w:r>
        <w:rPr>
          <w:b/>
        </w:rPr>
        <w:t xml:space="preserve">, </w:t>
      </w:r>
      <w:r>
        <w:t xml:space="preserve">byly zaznamenány vyšší průměrné koncentrace BaP oproti dlouhodobému průměru. Na vyšších koncentracích BaP se kromě meteorologických podmínek a vlivu přeshraničního transportu znečištění ovzduší z Polska mohla podílet </w:t>
      </w:r>
      <w:r>
        <w:rPr>
          <w:rFonts w:eastAsia="Times New Roman"/>
        </w:rPr>
        <w:t>vyšší intenzita vytápění v důsledku setrvání obyvatelstva v domácím prostředí</w:t>
      </w:r>
      <w:r>
        <w:t xml:space="preserve"> během nouzového stavu. </w:t>
      </w:r>
    </w:p>
    <w:p w:rsidR="002C07D0" w:rsidRDefault="002C07D0"/>
    <w:p w:rsidR="002C07D0" w:rsidRDefault="005D5932">
      <w:r>
        <w:rPr>
          <w:noProof/>
          <w:lang w:eastAsia="cs-CZ"/>
        </w:rPr>
        <w:drawing>
          <wp:inline distT="0" distB="0" distL="0" distR="0" wp14:anchorId="3AAFB3E5">
            <wp:extent cx="5868538" cy="215917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24" cy="2159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8" w:name="_Ref40703132"/>
      <w:r>
        <w:t xml:space="preserve">Obr. </w:t>
      </w:r>
      <w:fldSimple w:instr=" SEQ Obr. \* ARABIC ">
        <w:r>
          <w:t>4</w:t>
        </w:r>
      </w:fldSimple>
      <w:bookmarkEnd w:id="8"/>
      <w:r>
        <w:t xml:space="preserve"> Roční chod průměrných měsíčních koncentrací benzo[a]pyrenu na průmyslových stanicích v aglomeraci O/K/F-M, 2020 a v průměru let  2010–2019</w:t>
      </w:r>
    </w:p>
    <w:p w:rsidR="002C07D0" w:rsidRDefault="002C07D0"/>
    <w:p w:rsidR="002C07D0" w:rsidRDefault="008F178A">
      <w:r>
        <w:t>Roční chod měsíčních koncentrací BaP jasně kopíruje působení emisí z lokálního vytápění, jejichž míru (nebo intenzitu) ovlivňuje zejména počet topných dnů během topné sezóny, který určuje spotřebu paliv a lze ho vyjádřit pomocí tzv. denostupňů (</w:t>
      </w:r>
      <w:r>
        <w:fldChar w:fldCharType="begin"/>
      </w:r>
      <w:r>
        <w:instrText xml:space="preserve"> REF _Ref70575886 \h  \* MERGEFORMAT </w:instrText>
      </w:r>
      <w:r>
        <w:fldChar w:fldCharType="separate"/>
      </w:r>
      <w:r>
        <w:t>Obr. 5</w:t>
      </w:r>
      <w:r>
        <w:fldChar w:fldCharType="end"/>
      </w:r>
      <w:r>
        <w:t xml:space="preserve">). </w:t>
      </w:r>
    </w:p>
    <w:p w:rsidR="002C07D0" w:rsidRDefault="008F178A">
      <w:r>
        <w:rPr>
          <w:noProof/>
          <w:lang w:eastAsia="cs-CZ"/>
        </w:rPr>
        <w:drawing>
          <wp:inline distT="0" distB="0" distL="0" distR="0">
            <wp:extent cx="6049516" cy="22257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051811" cy="222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9" w:name="_Ref70575886"/>
      <w:r>
        <w:t xml:space="preserve">Obr. </w:t>
      </w:r>
      <w:fldSimple w:instr=" SEQ Obr. \* ARABIC ">
        <w:r>
          <w:t>5</w:t>
        </w:r>
      </w:fldSimple>
      <w:bookmarkEnd w:id="9"/>
      <w:r>
        <w:t xml:space="preserve"> Roční chod denostupňů na území ČR v topné sezoně 2020 (I–V, IX–XII) v porovnání s průměrem 2010–2019</w:t>
      </w:r>
    </w:p>
    <w:p w:rsidR="002C07D0" w:rsidRDefault="008F178A">
      <w:pPr>
        <w:rPr>
          <w:lang w:eastAsia="cs-CZ"/>
        </w:rPr>
      </w:pPr>
      <w:r>
        <w:t>Průměrné roční koncentrace BaP v hodnoceném období (2010–2020) kolísají a mírně klesají (</w:t>
      </w:r>
      <w:r>
        <w:fldChar w:fldCharType="begin"/>
      </w:r>
      <w:r>
        <w:instrText xml:space="preserve"> REF _Ref70575920 \h  \* MERGEFORMAT </w:instrText>
      </w:r>
      <w:r>
        <w:fldChar w:fldCharType="separate"/>
      </w:r>
      <w:r>
        <w:t>Obr. 6</w:t>
      </w:r>
      <w:r>
        <w:fldChar w:fldCharType="end"/>
      </w:r>
      <w:r>
        <w:t xml:space="preserve">). </w:t>
      </w:r>
      <w:r>
        <w:rPr>
          <w:b/>
        </w:rPr>
        <w:t>Roční průměrné koncentrace BaP v průměru pro všechny stanice byly v roce 2020 nejnižší za hodnocené období 2010–2020 (</w:t>
      </w:r>
      <w:r>
        <w:rPr>
          <w:b/>
        </w:rPr>
        <w:fldChar w:fldCharType="begin"/>
      </w:r>
      <w:r>
        <w:rPr>
          <w:b/>
        </w:rPr>
        <w:instrText xml:space="preserve"> REF _Ref70575920 \h  \* MERGEFORMAT </w:instrText>
      </w:r>
      <w:r>
        <w:rPr>
          <w:b/>
        </w:rPr>
      </w:r>
      <w:r>
        <w:rPr>
          <w:b/>
        </w:rPr>
        <w:fldChar w:fldCharType="separate"/>
      </w:r>
      <w:r>
        <w:t>Obr. 6</w:t>
      </w:r>
      <w:r>
        <w:rPr>
          <w:b/>
        </w:rPr>
        <w:fldChar w:fldCharType="end"/>
      </w:r>
      <w:r>
        <w:rPr>
          <w:b/>
        </w:rPr>
        <w:t>), nicméně v mnoha městech a obcích zůstávají stále na nadlimitní úrovni.</w:t>
      </w:r>
      <w:r>
        <w:t xml:space="preserve"> Oproti desetiletému průměru 2010–2019 došlo v roce 2020 k poklesu </w:t>
      </w:r>
      <w:r>
        <w:lastRenderedPageBreak/>
        <w:t>koncentrací BaP v průměru o cca 30 % (0,6 ng.m</w:t>
      </w:r>
      <w:r>
        <w:rPr>
          <w:vertAlign w:val="superscript"/>
        </w:rPr>
        <w:t>–3)</w:t>
      </w:r>
      <w:r>
        <w:t xml:space="preserve">. Na většině stanic, kde je BaP dlouhodobě sledován, byly v roce 2020 zaznamenány nejnižší hodnoty průměrných ročních koncentrací za celou dobu měření. </w:t>
      </w:r>
      <w:r>
        <w:rPr>
          <w:b/>
        </w:rPr>
        <w:t xml:space="preserve">Ke zlepšení situace přispěly zejména velmi atypické meteorologické a rozptylové podmínky v únoru, kdy byly zaznamenány nejvýraznější poklesy měsíčních koncentrací BaP a také klesající spotřeba paliv díky rostoucím teplotám v zimních měsících v posledních letech. Na poklesu koncentrací BaP se také podílí realizovaná opatření ke zlepšení kvality ovzduší, zejména obnova kotlů v domácnostech. </w:t>
      </w:r>
      <w:r>
        <w:t>Vyhodnocení vlivu realizovaných opatření je zkoumáno v rámci projektu TITSMZP704 – Měření a  analýza znečištění ovzduší s důrazem na vyhodnocení podílu jednotlivých skupin zdrojů – financovaném se státní podporou Technologické agentury ČR v rámci Programu BETA2, jehož výsledky budou k dispozici na konci roku 2021.</w:t>
      </w:r>
    </w:p>
    <w:p w:rsidR="002C07D0" w:rsidRDefault="002C07D0">
      <w:pPr>
        <w:rPr>
          <w:b/>
        </w:rPr>
      </w:pPr>
    </w:p>
    <w:p w:rsidR="002C07D0" w:rsidRDefault="008F178A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949950" cy="3511550"/>
            <wp:effectExtent l="0" t="0" r="0" b="0"/>
            <wp:docPr id="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949950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  <w:rPr>
          <w:lang w:eastAsia="cs-CZ"/>
        </w:rPr>
      </w:pPr>
      <w:bookmarkStart w:id="10" w:name="_Ref70575920"/>
      <w:r>
        <w:t xml:space="preserve">Obr. </w:t>
      </w:r>
      <w:fldSimple w:instr=" SEQ Obr. \* ARABIC ">
        <w:r>
          <w:t>6</w:t>
        </w:r>
      </w:fldSimple>
      <w:bookmarkEnd w:id="10"/>
      <w:r>
        <w:t xml:space="preserve"> Roční průměrné koncentrace benzo[a]pyrenu v České republice, 2010–2020</w:t>
      </w:r>
    </w:p>
    <w:p w:rsidR="002C07D0" w:rsidRDefault="002C07D0">
      <w:pPr>
        <w:rPr>
          <w:lang w:eastAsia="cs-CZ"/>
        </w:rPr>
      </w:pPr>
    </w:p>
    <w:p w:rsidR="002C07D0" w:rsidRDefault="002C07D0">
      <w:pPr>
        <w:rPr>
          <w:lang w:eastAsia="cs-CZ"/>
        </w:rPr>
      </w:pPr>
    </w:p>
    <w:p w:rsidR="002C07D0" w:rsidRDefault="002C07D0">
      <w:pPr>
        <w:rPr>
          <w:lang w:eastAsia="cs-CZ"/>
        </w:rPr>
      </w:pPr>
    </w:p>
    <w:p w:rsidR="002C07D0" w:rsidRDefault="002C07D0">
      <w:pPr>
        <w:rPr>
          <w:lang w:eastAsia="cs-CZ"/>
        </w:rPr>
      </w:pPr>
    </w:p>
    <w:p w:rsidR="00F75E03" w:rsidRDefault="00F75E03">
      <w:pPr>
        <w:rPr>
          <w:lang w:eastAsia="cs-CZ"/>
        </w:rPr>
      </w:pPr>
    </w:p>
    <w:p w:rsidR="00F75E03" w:rsidRDefault="00F75E03">
      <w:pPr>
        <w:rPr>
          <w:lang w:eastAsia="cs-CZ"/>
        </w:rPr>
      </w:pPr>
    </w:p>
    <w:p w:rsidR="00F75E03" w:rsidRDefault="00F75E03">
      <w:pPr>
        <w:rPr>
          <w:lang w:eastAsia="cs-CZ"/>
        </w:rPr>
      </w:pPr>
    </w:p>
    <w:p w:rsidR="002C07D0" w:rsidRDefault="002C07D0">
      <w:pPr>
        <w:rPr>
          <w:lang w:eastAsia="cs-CZ"/>
        </w:rPr>
      </w:pPr>
    </w:p>
    <w:p w:rsidR="002C07D0" w:rsidRDefault="008F178A">
      <w:pPr>
        <w:pStyle w:val="Nadpis1"/>
        <w:spacing w:after="240"/>
      </w:pPr>
      <w:bookmarkStart w:id="11" w:name="_Toc71185516"/>
      <w:r>
        <w:lastRenderedPageBreak/>
        <w:t>Benzen</w:t>
      </w:r>
      <w:bookmarkEnd w:id="11"/>
    </w:p>
    <w:p w:rsidR="002C07D0" w:rsidRDefault="008F178A">
      <w:r>
        <w:t>Hodnota ročního imisního limitu pro benzen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t xml:space="preserve"> (5 µg.m</w:t>
      </w:r>
      <w:r>
        <w:rPr>
          <w:vertAlign w:val="superscript"/>
        </w:rPr>
        <w:t>–3</w:t>
      </w:r>
      <w:r>
        <w:t>) nebyla v roce 2020 překročena na žádné z 36 stanic (</w:t>
      </w:r>
      <w:r>
        <w:fldChar w:fldCharType="begin"/>
      </w:r>
      <w:r>
        <w:instrText xml:space="preserve"> REF _Ref70079298 \h  \* MERGEFORMAT </w:instrText>
      </w:r>
      <w:r>
        <w:fldChar w:fldCharType="separate"/>
      </w:r>
      <w:r>
        <w:t>Obr. 7</w:t>
      </w:r>
      <w:r>
        <w:fldChar w:fldCharType="end"/>
      </w:r>
      <w:r>
        <w:t>). Nejvyšších koncentrací bylo dosaženo stejně jako v předešlých letech na stanicích v aglomeraci O/K/F-M. Nejzatíženější stanicí byla Ostrava-Přívoz (3,5 µg.m</w:t>
      </w:r>
      <w:r>
        <w:rPr>
          <w:vertAlign w:val="superscript"/>
        </w:rPr>
        <w:t>–3</w:t>
      </w:r>
      <w:r>
        <w:t>), oproti roku 2019 (4,1 µg.m</w:t>
      </w:r>
      <w:r>
        <w:rPr>
          <w:vertAlign w:val="superscript"/>
        </w:rPr>
        <w:t>–3</w:t>
      </w:r>
      <w:r>
        <w:t>) se jedná o pokles o 15 %. Dlouhodobě vyšší koncentrace 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t xml:space="preserve"> v aglomeraci O/K/F-M souvisejí především s průmyslovou činností, a to s výrobou koksu a se zpracováním chemických produktů (</w:t>
      </w:r>
      <w:r>
        <w:fldChar w:fldCharType="begin"/>
      </w:r>
      <w:r>
        <w:instrText xml:space="preserve"> REF _Ref40703345 \h  \* MERGEFORMAT </w:instrText>
      </w:r>
      <w:r>
        <w:fldChar w:fldCharType="separate"/>
      </w:r>
      <w:r>
        <w:t>Obr. 8</w:t>
      </w:r>
      <w:r>
        <w:fldChar w:fldCharType="end"/>
      </w:r>
      <w:r>
        <w:t>).</w:t>
      </w:r>
    </w:p>
    <w:p w:rsidR="002C07D0" w:rsidRDefault="008F178A">
      <w:r>
        <w:rPr>
          <w:noProof/>
          <w:lang w:eastAsia="cs-CZ"/>
        </w:rPr>
        <w:drawing>
          <wp:inline distT="0" distB="0" distL="0" distR="0">
            <wp:extent cx="6120119" cy="4107180"/>
            <wp:effectExtent l="0" t="0" r="0" b="762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ZN_mapa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6120119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12" w:name="_Ref70079298"/>
      <w:r>
        <w:t xml:space="preserve">Obr. </w:t>
      </w:r>
      <w:fldSimple w:instr=" SEQ Obr. \* ARABIC ">
        <w:r>
          <w:t>7</w:t>
        </w:r>
      </w:fldSimple>
      <w:bookmarkEnd w:id="12"/>
      <w:r>
        <w:tab/>
        <w:t>Roční průměrné koncentrace benzenu měřené na stanicích imisního monitoringu, 2020</w:t>
      </w:r>
    </w:p>
    <w:p w:rsidR="002C07D0" w:rsidRDefault="002C07D0"/>
    <w:p w:rsidR="002C07D0" w:rsidRDefault="008F178A">
      <w:r>
        <w:rPr>
          <w:noProof/>
          <w:lang w:eastAsia="cs-CZ"/>
        </w:rPr>
        <w:drawing>
          <wp:inline distT="0" distB="0" distL="0" distR="0">
            <wp:extent cx="6120000" cy="226499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6120000" cy="22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  <w:rPr>
          <w:b/>
          <w:color w:val="1F497D"/>
          <w:spacing w:val="6"/>
          <w:sz w:val="32"/>
        </w:rPr>
      </w:pPr>
      <w:bookmarkStart w:id="13" w:name="_Ref40703345"/>
      <w:r>
        <w:t xml:space="preserve">Obr. </w:t>
      </w:r>
      <w:fldSimple w:instr=" SEQ Obr. \* ARABIC ">
        <w:r>
          <w:t>8</w:t>
        </w:r>
      </w:fldSimple>
      <w:bookmarkEnd w:id="13"/>
      <w:r>
        <w:tab/>
        <w:t>Roční průměrné koncentrace benzenu, 2010–2020</w:t>
      </w:r>
      <w:r>
        <w:br w:type="page"/>
      </w:r>
    </w:p>
    <w:p w:rsidR="002C07D0" w:rsidRDefault="008F178A">
      <w:pPr>
        <w:pStyle w:val="Nadpis1"/>
      </w:pPr>
      <w:bookmarkStart w:id="14" w:name="_Toc71185517"/>
      <w:r>
        <w:lastRenderedPageBreak/>
        <w:t>Těžké kovy</w:t>
      </w:r>
      <w:bookmarkEnd w:id="14"/>
    </w:p>
    <w:p w:rsidR="002C07D0" w:rsidRDefault="008F178A">
      <w:r>
        <w:t xml:space="preserve">Roční imisní limit </w:t>
      </w:r>
      <w:r>
        <w:rPr>
          <w:b/>
        </w:rPr>
        <w:t>arsenu</w:t>
      </w:r>
      <w:r>
        <w:t xml:space="preserve"> As (6 ng.m</w:t>
      </w:r>
      <w:r>
        <w:rPr>
          <w:vertAlign w:val="superscript"/>
        </w:rPr>
        <w:t>–3</w:t>
      </w:r>
      <w:r>
        <w:t>) nebyl v roce 2020 překročen na žádné z 60 stanic, kde probíhá jeho měření (</w:t>
      </w:r>
      <w:r>
        <w:fldChar w:fldCharType="begin"/>
      </w:r>
      <w:r>
        <w:instrText xml:space="preserve"> REF _Ref70079309 \h  \* MERGEFORMAT </w:instrText>
      </w:r>
      <w:r>
        <w:fldChar w:fldCharType="separate"/>
      </w:r>
      <w:r>
        <w:t>Obr. 9</w:t>
      </w:r>
      <w:r>
        <w:fldChar w:fldCharType="end"/>
      </w:r>
      <w:r>
        <w:t>). Nejvyšší roční průměr byl naměřen na stanicích Kladno-Švermov a Kladno-Vrapice (2,7 ng.m</w:t>
      </w:r>
      <w:r>
        <w:rPr>
          <w:vertAlign w:val="superscript"/>
        </w:rPr>
        <w:t>–3</w:t>
      </w:r>
      <w:r>
        <w:t>). Na stanici Kladno-Švermov se oproti roku 2019 (3,3 ng.m</w:t>
      </w:r>
      <w:r>
        <w:rPr>
          <w:vertAlign w:val="superscript"/>
        </w:rPr>
        <w:t>–3</w:t>
      </w:r>
      <w:r>
        <w:t>) jedná o pokles o 20 %, na stanici Kladno-Vrapice o nárůst o 5 %. Koncentrace arsenu se na Kladensku pohybovaly do roku 2014 kolem hodnoty imisního limitu, od roku 2015 je pak zaznamenán pokles hodnot (</w:t>
      </w:r>
      <w:r>
        <w:fldChar w:fldCharType="begin"/>
      </w:r>
      <w:r>
        <w:instrText xml:space="preserve"> REF _Ref70079321 \h  \* MERGEFORMAT </w:instrText>
      </w:r>
      <w:r>
        <w:fldChar w:fldCharType="separate"/>
      </w:r>
      <w:r>
        <w:t>Obr. 10</w:t>
      </w:r>
      <w:r>
        <w:fldChar w:fldCharType="end"/>
      </w:r>
      <w:r>
        <w:t xml:space="preserve">). Kladensko je jednou z oblastí, kde probíhalo kampaňové měření koncentrací těžkých kovů v rámci projektu TAČR (č. TITSMZP704). </w:t>
      </w:r>
      <w:r w:rsidR="005809B2" w:rsidRPr="005809B2">
        <w:t>Předběžné výsledky ukazují jako pravděpodobný zdroj vysokých koncentrací arsenu v tomto regionu lokální vytápění pomocí uhlí s vysokým obsahem As</w:t>
      </w:r>
      <w:r>
        <w:t xml:space="preserve">. </w:t>
      </w:r>
    </w:p>
    <w:p w:rsidR="002C07D0" w:rsidRDefault="008F178A">
      <w:r>
        <w:rPr>
          <w:noProof/>
          <w:lang w:eastAsia="cs-CZ"/>
        </w:rPr>
        <w:drawing>
          <wp:inline distT="0" distB="0" distL="0" distR="0">
            <wp:extent cx="6120119" cy="4107180"/>
            <wp:effectExtent l="0" t="0" r="0" b="762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_mapa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6120119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15" w:name="_Ref70079309"/>
      <w:r>
        <w:t xml:space="preserve">Obr. </w:t>
      </w:r>
      <w:fldSimple w:instr=" SEQ Obr. \* ARABIC ">
        <w:r>
          <w:t>9</w:t>
        </w:r>
      </w:fldSimple>
      <w:bookmarkEnd w:id="15"/>
      <w:r>
        <w:tab/>
        <w:t>Roční průměrné koncentrace arsenu měřené na stanicích imisního monitoringu, 2020</w:t>
      </w:r>
    </w:p>
    <w:p w:rsidR="002C07D0" w:rsidRDefault="002C07D0"/>
    <w:p w:rsidR="002C07D0" w:rsidRDefault="008F178A">
      <w:r>
        <w:rPr>
          <w:noProof/>
          <w:lang w:eastAsia="cs-CZ"/>
        </w:rPr>
        <w:lastRenderedPageBreak/>
        <w:drawing>
          <wp:inline distT="0" distB="0" distL="0" distR="0">
            <wp:extent cx="6120000" cy="2264990"/>
            <wp:effectExtent l="0" t="0" r="0" b="254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120000" cy="22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16" w:name="_Ref70079321"/>
      <w:r>
        <w:t xml:space="preserve">Obr. </w:t>
      </w:r>
      <w:fldSimple w:instr=" SEQ Obr. \* ARABIC ">
        <w:r>
          <w:t>10</w:t>
        </w:r>
      </w:fldSimple>
      <w:bookmarkEnd w:id="16"/>
      <w:r>
        <w:tab/>
        <w:t>Roční průměrné koncentrace arsenu, 2010–2020</w:t>
      </w:r>
    </w:p>
    <w:p w:rsidR="002C07D0" w:rsidRDefault="002C07D0"/>
    <w:p w:rsidR="002C07D0" w:rsidRDefault="008F178A">
      <w:r>
        <w:t xml:space="preserve">Roční imisní limit </w:t>
      </w:r>
      <w:r>
        <w:rPr>
          <w:b/>
        </w:rPr>
        <w:t>kadmia</w:t>
      </w:r>
      <w:r>
        <w:t xml:space="preserve"> Cd (5 ng.m</w:t>
      </w:r>
      <w:r>
        <w:rPr>
          <w:vertAlign w:val="superscript"/>
        </w:rPr>
        <w:t>–3</w:t>
      </w:r>
      <w:r>
        <w:t>) nebyl v roce 2020 překročen na žádné z 59 stanic (</w:t>
      </w:r>
      <w:r>
        <w:fldChar w:fldCharType="begin"/>
      </w:r>
      <w:r>
        <w:instrText xml:space="preserve"> REF _Ref70079329 \h  \* MERGEFORMAT </w:instrText>
      </w:r>
      <w:r>
        <w:fldChar w:fldCharType="separate"/>
      </w:r>
      <w:r>
        <w:t>Obr. 11</w:t>
      </w:r>
      <w:r>
        <w:fldChar w:fldCharType="end"/>
      </w:r>
      <w:r>
        <w:t>). Nejvyšší roční průměrná koncentrace byla naměřen</w:t>
      </w:r>
      <w:r w:rsidR="00F6447E">
        <w:t>a</w:t>
      </w:r>
      <w:r>
        <w:t xml:space="preserve"> na stanici Tanvald-školka (2,9 ng.m</w:t>
      </w:r>
      <w:r>
        <w:rPr>
          <w:vertAlign w:val="superscript"/>
        </w:rPr>
        <w:t>–3</w:t>
      </w:r>
      <w:r>
        <w:t>). Oproti roku 2019 (4 ng.m</w:t>
      </w:r>
      <w:r>
        <w:rPr>
          <w:vertAlign w:val="superscript"/>
        </w:rPr>
        <w:t>–3</w:t>
      </w:r>
      <w:r>
        <w:t>) se jedná o pokles o 28 %. V letech 2009–2015 byly na Tanvaldsku zaznamenány vysoké až nadlimitní koncentrace kadmia (</w:t>
      </w:r>
      <w:r>
        <w:fldChar w:fldCharType="begin"/>
      </w:r>
      <w:r>
        <w:instrText xml:space="preserve"> REF _Ref70079337 \h  \* MERGEFORMAT </w:instrText>
      </w:r>
      <w:r>
        <w:fldChar w:fldCharType="separate"/>
      </w:r>
      <w:r>
        <w:t>Obr. 12</w:t>
      </w:r>
      <w:r>
        <w:fldChar w:fldCharType="end"/>
      </w:r>
      <w:r>
        <w:t>). Oblast Tanvaldska je charakteristická vysokým zastoupením sklářského průmyslu, který je významným zdrojem emisí kadmia z používaných barev a tavidel. V letech 2015</w:t>
      </w:r>
      <w:r w:rsidR="00AC7DE7">
        <w:t xml:space="preserve"> </w:t>
      </w:r>
      <w:r>
        <w:t>a 2016 proběhla ekologizace provozu místních sklářských závodů, což vedlo ke snížení ročních průměrných koncentrací pod hodnotu imisního limitu. V roce 2016 proběhlo na Tanvaldsku mapování koncentrací kadmia a ostatních těžkých kovů v rámci interního projektu ČHMÚ</w:t>
      </w:r>
      <w:r>
        <w:rPr>
          <w:rStyle w:val="Znakapoznpodarou"/>
        </w:rPr>
        <w:footnoteReference w:id="7"/>
      </w:r>
      <w:r>
        <w:t>.</w:t>
      </w:r>
    </w:p>
    <w:p w:rsidR="002C07D0" w:rsidRDefault="002C07D0"/>
    <w:p w:rsidR="002C07D0" w:rsidRDefault="008F178A">
      <w:r>
        <w:rPr>
          <w:noProof/>
          <w:lang w:eastAsia="cs-CZ"/>
        </w:rPr>
        <w:lastRenderedPageBreak/>
        <w:drawing>
          <wp:inline distT="0" distB="0" distL="0" distR="0">
            <wp:extent cx="6120119" cy="4107180"/>
            <wp:effectExtent l="0" t="0" r="0" b="7620"/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d_mapa_1.png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6120119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17" w:name="_Ref70079329"/>
      <w:r>
        <w:t xml:space="preserve">Obr. </w:t>
      </w:r>
      <w:fldSimple w:instr=" SEQ Obr. \* ARABIC ">
        <w:r>
          <w:t>11</w:t>
        </w:r>
      </w:fldSimple>
      <w:bookmarkEnd w:id="17"/>
      <w:r>
        <w:t> Roční průměrné koncentrace kadmia měřené na stanicích imisního monitoringu, 2020</w:t>
      </w:r>
    </w:p>
    <w:p w:rsidR="002C07D0" w:rsidRDefault="002C07D0"/>
    <w:p w:rsidR="002C07D0" w:rsidRDefault="008F178A">
      <w:r>
        <w:rPr>
          <w:noProof/>
          <w:lang w:eastAsia="cs-CZ"/>
        </w:rPr>
        <w:drawing>
          <wp:inline distT="0" distB="0" distL="0" distR="0">
            <wp:extent cx="6120000" cy="2264990"/>
            <wp:effectExtent l="0" t="0" r="0" b="2540"/>
            <wp:docPr id="1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6120000" cy="22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7D0" w:rsidRDefault="008F178A">
      <w:pPr>
        <w:pStyle w:val="Titulek"/>
      </w:pPr>
      <w:bookmarkStart w:id="18" w:name="_Ref70079337"/>
      <w:r>
        <w:t xml:space="preserve">Obr. </w:t>
      </w:r>
      <w:fldSimple w:instr=" SEQ Obr. \* ARABIC ">
        <w:r>
          <w:t>12</w:t>
        </w:r>
      </w:fldSimple>
      <w:bookmarkEnd w:id="18"/>
      <w:r>
        <w:t> Roční průměrné koncentrace kadmia, 2010–2020</w:t>
      </w:r>
    </w:p>
    <w:p w:rsidR="002C07D0" w:rsidRDefault="002C07D0">
      <w:pPr>
        <w:spacing w:after="0" w:line="240" w:lineRule="auto"/>
        <w:jc w:val="left"/>
      </w:pPr>
    </w:p>
    <w:p w:rsidR="002C07D0" w:rsidRDefault="008F178A">
      <w:r>
        <w:t xml:space="preserve">Roční imisní limit </w:t>
      </w:r>
      <w:r>
        <w:rPr>
          <w:b/>
        </w:rPr>
        <w:t>niklu</w:t>
      </w:r>
      <w:r>
        <w:t xml:space="preserve"> Ni (20 ng.m</w:t>
      </w:r>
      <w:r>
        <w:rPr>
          <w:vertAlign w:val="superscript"/>
        </w:rPr>
        <w:t>–3</w:t>
      </w:r>
      <w:r>
        <w:t>) nebyl v roce 2020 překročen na žádné ze 58 stanic. Nejvyšší roční průměr byl naměřen na stanici Ostrava-Hošťálkovice (4,5 ng.m</w:t>
      </w:r>
      <w:r>
        <w:rPr>
          <w:vertAlign w:val="superscript"/>
        </w:rPr>
        <w:t>–3</w:t>
      </w:r>
      <w:r>
        <w:t>). Koncentrace niklu se dlouhodobě pohybují hluboko pod imisním limitem.</w:t>
      </w:r>
    </w:p>
    <w:p w:rsidR="002C07D0" w:rsidRDefault="008F178A">
      <w:r>
        <w:t xml:space="preserve">Roční imisní limit </w:t>
      </w:r>
      <w:r>
        <w:rPr>
          <w:b/>
        </w:rPr>
        <w:t>olova</w:t>
      </w:r>
      <w:r>
        <w:t xml:space="preserve"> Pb (500 ng.m</w:t>
      </w:r>
      <w:r>
        <w:rPr>
          <w:vertAlign w:val="superscript"/>
        </w:rPr>
        <w:t>–3</w:t>
      </w:r>
      <w:r>
        <w:t>) nebyl v roce 2020 překročen na žádné z 59 stanic. Nejvyšší roční průměr byl naměřen na stanici Ostrava-Radvanice ZÚ (51 ng.m</w:t>
      </w:r>
      <w:r>
        <w:rPr>
          <w:vertAlign w:val="superscript"/>
        </w:rPr>
        <w:t>–3</w:t>
      </w:r>
      <w:r>
        <w:t>). Koncentrace olova se dlouhodobě pohybují hluboko pod imisním limitem.</w:t>
      </w:r>
    </w:p>
    <w:p w:rsidR="002C07D0" w:rsidRDefault="002C07D0">
      <w:pPr>
        <w:spacing w:after="0" w:line="240" w:lineRule="auto"/>
        <w:jc w:val="left"/>
      </w:pPr>
    </w:p>
    <w:p w:rsidR="002C07D0" w:rsidRDefault="008F178A">
      <w:pPr>
        <w:pStyle w:val="Nadpis1"/>
        <w:numPr>
          <w:ilvl w:val="0"/>
          <w:numId w:val="0"/>
        </w:numPr>
        <w:ind w:left="432" w:hanging="432"/>
      </w:pPr>
      <w:bookmarkStart w:id="19" w:name="_Toc71185518"/>
      <w:r>
        <w:lastRenderedPageBreak/>
        <w:t>Kontakty</w:t>
      </w:r>
      <w:bookmarkEnd w:id="19"/>
    </w:p>
    <w:p w:rsidR="002C07D0" w:rsidRDefault="002C07D0">
      <w:pPr>
        <w:spacing w:after="0" w:line="240" w:lineRule="auto"/>
        <w:jc w:val="left"/>
        <w:rPr>
          <w:b/>
          <w:color w:val="1F497D"/>
          <w:spacing w:val="6"/>
          <w:sz w:val="32"/>
        </w:rPr>
      </w:pPr>
    </w:p>
    <w:p w:rsidR="002C07D0" w:rsidRDefault="008F178A">
      <w:pPr>
        <w:rPr>
          <w:b/>
        </w:rPr>
      </w:pPr>
      <w:r>
        <w:rPr>
          <w:b/>
        </w:rPr>
        <w:t>Dotazy na hodnocení kvality ovzduší za ČR</w:t>
      </w:r>
    </w:p>
    <w:p w:rsidR="002C07D0" w:rsidRDefault="008F178A">
      <w:r>
        <w:tab/>
        <w:t>Ing. Václav Novák, e-mail: vaclav.novak@chmi.cz, tel.: 244 032 402</w:t>
      </w:r>
    </w:p>
    <w:p w:rsidR="002C07D0" w:rsidRDefault="002C07D0">
      <w:pPr>
        <w:rPr>
          <w:b/>
          <w:bCs/>
        </w:rPr>
      </w:pPr>
    </w:p>
    <w:p w:rsidR="002C07D0" w:rsidRDefault="008F178A">
      <w:pPr>
        <w:rPr>
          <w:b/>
          <w:bCs/>
        </w:rPr>
      </w:pPr>
      <w:r>
        <w:rPr>
          <w:b/>
          <w:bCs/>
        </w:rPr>
        <w:t>Dotazy na smogové situace</w:t>
      </w:r>
    </w:p>
    <w:p w:rsidR="002C07D0" w:rsidRDefault="008F178A">
      <w:pPr>
        <w:ind w:firstLine="709"/>
      </w:pPr>
      <w:r>
        <w:t>Mgr. Ondřej Vlček, e-mail: ondrej.vlcek@chmi.cz, tel.: 244 032 488</w:t>
      </w:r>
    </w:p>
    <w:p w:rsidR="002C07D0" w:rsidRDefault="002C07D0">
      <w:pPr>
        <w:rPr>
          <w:b/>
        </w:rPr>
      </w:pPr>
    </w:p>
    <w:p w:rsidR="002C07D0" w:rsidRDefault="008F178A">
      <w:pPr>
        <w:rPr>
          <w:b/>
        </w:rPr>
      </w:pPr>
      <w:r>
        <w:rPr>
          <w:b/>
        </w:rPr>
        <w:t>Dotazy na měření a laboratoře</w:t>
      </w:r>
    </w:p>
    <w:p w:rsidR="002C07D0" w:rsidRDefault="008F178A">
      <w:pPr>
        <w:ind w:firstLine="709"/>
      </w:pPr>
      <w:r>
        <w:t>Mgr. Štěpán Rychlík, Ph.D., e-mail: stepan.rychlik@chmi.cz, tel.: 606 477 218</w:t>
      </w:r>
    </w:p>
    <w:p w:rsidR="002C07D0" w:rsidRDefault="002C07D0"/>
    <w:p w:rsidR="002C07D0" w:rsidRDefault="008F178A">
      <w:pPr>
        <w:rPr>
          <w:b/>
        </w:rPr>
      </w:pPr>
      <w:r>
        <w:rPr>
          <w:b/>
        </w:rPr>
        <w:t>Dotazy na regionální hodnocení kvality ovzduší</w:t>
      </w:r>
    </w:p>
    <w:p w:rsidR="002C07D0" w:rsidRDefault="008F178A">
      <w:pPr>
        <w:pStyle w:val="Bezmezer"/>
        <w:tabs>
          <w:tab w:val="left" w:pos="851"/>
        </w:tabs>
        <w:rPr>
          <w:b/>
          <w:bCs/>
        </w:rPr>
      </w:pPr>
      <w:r>
        <w:rPr>
          <w:b/>
          <w:bCs/>
        </w:rPr>
        <w:t>Kraj Moravskoslezský a Olomoucký</w:t>
      </w:r>
    </w:p>
    <w:p w:rsidR="002C07D0" w:rsidRDefault="008F178A">
      <w:r>
        <w:tab/>
        <w:t>Mgr. Blanka Krejčí, Ph.D., e-mail: blanka.krejci@chmi.cz, tel.: 603 511 908</w:t>
      </w:r>
    </w:p>
    <w:p w:rsidR="002C07D0" w:rsidRDefault="008F178A">
      <w:pPr>
        <w:pStyle w:val="Bezmezer"/>
        <w:tabs>
          <w:tab w:val="left" w:pos="851"/>
        </w:tabs>
        <w:rPr>
          <w:b/>
          <w:bCs/>
        </w:rPr>
      </w:pPr>
      <w:r>
        <w:rPr>
          <w:b/>
          <w:bCs/>
        </w:rPr>
        <w:t>Kraj Jihomoravský, Zlínský a Vysočina</w:t>
      </w:r>
    </w:p>
    <w:p w:rsidR="002C07D0" w:rsidRDefault="008F178A">
      <w:r>
        <w:tab/>
        <w:t>Mgr. Jáchym Brzezina, e-mail: jachym.brzezina@chmi.cz, tel.: 737 387 741</w:t>
      </w:r>
    </w:p>
    <w:p w:rsidR="002C07D0" w:rsidRDefault="008F178A">
      <w:pPr>
        <w:pStyle w:val="Bezmezer"/>
        <w:tabs>
          <w:tab w:val="left" w:pos="851"/>
        </w:tabs>
        <w:rPr>
          <w:b/>
          <w:bCs/>
        </w:rPr>
      </w:pPr>
      <w:r>
        <w:rPr>
          <w:b/>
          <w:bCs/>
        </w:rPr>
        <w:t>Kraj Královéhradecký a Pardubický</w:t>
      </w:r>
    </w:p>
    <w:p w:rsidR="002C07D0" w:rsidRDefault="008F178A">
      <w:r>
        <w:tab/>
        <w:t>Mgr. Jan Komárek, e-mail: jan.komarek@chmi.cz, tel.: 605 228 142</w:t>
      </w:r>
    </w:p>
    <w:p w:rsidR="002C07D0" w:rsidRDefault="008F178A">
      <w:pPr>
        <w:pStyle w:val="Bezmezer"/>
        <w:tabs>
          <w:tab w:val="left" w:pos="851"/>
        </w:tabs>
        <w:rPr>
          <w:b/>
          <w:bCs/>
        </w:rPr>
      </w:pPr>
      <w:r>
        <w:rPr>
          <w:b/>
          <w:bCs/>
        </w:rPr>
        <w:t>Kraj Jihočeský a Plzeňský</w:t>
      </w:r>
    </w:p>
    <w:p w:rsidR="002C07D0" w:rsidRDefault="008F178A">
      <w:r>
        <w:tab/>
        <w:t>Ing. Tomáš Fory, e-mail: tomas.fory@chmi.cz, tel.: 604 221 364</w:t>
      </w:r>
    </w:p>
    <w:p w:rsidR="002C07D0" w:rsidRDefault="008F178A">
      <w:pPr>
        <w:pStyle w:val="Bezmezer"/>
        <w:tabs>
          <w:tab w:val="left" w:pos="851"/>
        </w:tabs>
        <w:rPr>
          <w:b/>
          <w:bCs/>
        </w:rPr>
      </w:pPr>
      <w:r>
        <w:rPr>
          <w:b/>
          <w:bCs/>
        </w:rPr>
        <w:t>Kraj Ústecký, Liberecký a Karlovarský</w:t>
      </w:r>
    </w:p>
    <w:p w:rsidR="002C07D0" w:rsidRDefault="008F178A">
      <w:r>
        <w:tab/>
        <w:t>Ing. Helena Plachá, e-mail: helena.placha@chmi.cz, tel.: 724 522 390</w:t>
      </w:r>
    </w:p>
    <w:p w:rsidR="002C07D0" w:rsidRDefault="008F178A">
      <w:pPr>
        <w:pStyle w:val="Bezmezer"/>
        <w:tabs>
          <w:tab w:val="left" w:pos="851"/>
        </w:tabs>
        <w:rPr>
          <w:b/>
          <w:bCs/>
        </w:rPr>
      </w:pPr>
      <w:r>
        <w:rPr>
          <w:b/>
          <w:bCs/>
        </w:rPr>
        <w:t>Kraj Středočeský a Praha</w:t>
      </w:r>
    </w:p>
    <w:p w:rsidR="002C07D0" w:rsidRDefault="008F178A">
      <w:r>
        <w:tab/>
        <w:t>Ing. Václav Novák, e-mail: vaclav.novak@chmi.cz, tel.: 244 032 402</w:t>
      </w:r>
    </w:p>
    <w:p w:rsidR="002C07D0" w:rsidRDefault="002C07D0"/>
    <w:sectPr w:rsidR="002C07D0">
      <w:headerReference w:type="default" r:id="rId22"/>
      <w:footerReference w:type="default" r:id="rId23"/>
      <w:pgSz w:w="11906" w:h="16838"/>
      <w:pgMar w:top="1134" w:right="1134" w:bottom="1134" w:left="1134" w:header="425" w:footer="425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4434AA5D" w16cex:dateUtc="2021-05-04T08:46:48Z"/>
  <w16cex:commentExtensible w16cex:durableId="425C49FE" w16cex:dateUtc="2021-05-04T15:55:07Z"/>
  <w16cex:commentExtensible w16cex:durableId="521128AE" w16cex:dateUtc="2021-05-04T15:52:46Z"/>
  <w16cex:commentExtensible w16cex:durableId="4E79117A" w16cex:dateUtc="2021-05-04T08:25:27Z"/>
  <w16cex:commentExtensible w16cex:durableId="2548A93B" w16cex:dateUtc="2021-05-04T15:46:04Z"/>
  <w16cex:commentExtensible w16cex:durableId="66F3EA1E" w16cex:dateUtc="2021-04-29T13:21:36Z"/>
  <w16cex:commentExtensible w16cex:durableId="2BCA4725" w16cex:dateUtc="2021-05-02T13:15:35Z"/>
  <w16cex:commentExtensible w16cex:durableId="66D9BC45" w16cex:dateUtc="2021-05-04T15:38:16Z"/>
  <w16cex:commentExtensible w16cex:durableId="5683A095" w16cex:dateUtc="2021-05-04T15:37:17Z"/>
  <w16cex:commentExtensible w16cex:durableId="4859784E" w16cex:dateUtc="2021-05-04T15:31:29Z"/>
  <w16cex:commentExtensible w16cex:durableId="127BD9EF" w16cex:dateUtc="2021-05-04T08:04:09Z"/>
  <w16cex:commentExtensible w16cex:durableId="08577265" w16cex:dateUtc="2021-04-28T09:16:00Z"/>
  <w16cex:commentExtensible w16cex:durableId="3B1CD29E" w16cex:dateUtc="2021-04-29T13:07:56Z"/>
  <w16cex:commentExtensible w16cex:durableId="540B17E9" w16cex:dateUtc="2021-05-04T15:29:32Z"/>
  <w16cex:commentExtensible w16cex:durableId="6B0D621F" w16cex:dateUtc="2021-05-04T15:14:10Z"/>
  <w16cex:commentExtensible w16cex:durableId="6FCDAFA6" w16cex:dateUtc="2021-05-04T15:26:47Z"/>
  <w16cex:commentExtensible w16cex:durableId="6F336356" w16cex:dateUtc="2021-05-04T07:50:40Z"/>
  <w16cex:commentExtensible w16cex:durableId="2AC80096" w16cex:dateUtc="2021-05-04T15:16:07Z"/>
  <w16cex:commentExtensible w16cex:durableId="18954985" w16cex:dateUtc="2021-05-04T07:47:47Z"/>
  <w16cex:commentExtensible w16cex:durableId="27BE9412" w16cex:dateUtc="2021-05-04T07:46:49Z"/>
  <w16cex:commentExtensible w16cex:durableId="232677E3" w16cex:dateUtc="2021-05-04T15:11:31Z"/>
  <w16cex:commentExtensible w16cex:durableId="1C567A96" w16cex:dateUtc="2021-04-29T13:15:33Z"/>
  <w16cex:commentExtensible w16cex:durableId="0F714A45" w16cex:dateUtc="2021-04-29T12:31:1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4434AA5D"/>
  <w16cid:commentId w16cid:paraId="00000002" w16cid:durableId="425C49FE"/>
  <w16cid:commentId w16cid:paraId="00000003" w16cid:durableId="521128AE"/>
  <w16cid:commentId w16cid:paraId="00000004" w16cid:durableId="4E79117A"/>
  <w16cid:commentId w16cid:paraId="00000009" w16cid:durableId="2548A93B"/>
  <w16cid:commentId w16cid:paraId="0000000A" w16cid:durableId="66F3EA1E"/>
  <w16cid:commentId w16cid:paraId="0000000B" w16cid:durableId="2BCA4725"/>
  <w16cid:commentId w16cid:paraId="0000000C" w16cid:durableId="66D9BC45"/>
  <w16cid:commentId w16cid:paraId="0000000F" w16cid:durableId="5683A095"/>
  <w16cid:commentId w16cid:paraId="00000010" w16cid:durableId="4859784E"/>
  <w16cid:commentId w16cid:paraId="00000011" w16cid:durableId="127BD9EF"/>
  <w16cid:commentId w16cid:paraId="00000012" w16cid:durableId="08577265"/>
  <w16cid:commentId w16cid:paraId="00000013" w16cid:durableId="3B1CD29E"/>
  <w16cid:commentId w16cid:paraId="00000014" w16cid:durableId="540B17E9"/>
  <w16cid:commentId w16cid:paraId="00000017" w16cid:durableId="6B0D621F"/>
  <w16cid:commentId w16cid:paraId="0000001D" w16cid:durableId="6FCDAFA6"/>
  <w16cid:commentId w16cid:paraId="0000001E" w16cid:durableId="6F336356"/>
  <w16cid:commentId w16cid:paraId="0000001F" w16cid:durableId="2AC80096"/>
  <w16cid:commentId w16cid:paraId="00000020" w16cid:durableId="18954985"/>
  <w16cid:commentId w16cid:paraId="00000021" w16cid:durableId="27BE9412"/>
  <w16cid:commentId w16cid:paraId="00000024" w16cid:durableId="232677E3"/>
  <w16cid:commentId w16cid:paraId="00000025" w16cid:durableId="1C567A96"/>
  <w16cid:commentId w16cid:paraId="00000026" w16cid:durableId="0F714A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1AA" w:rsidRDefault="004121AA">
      <w:r>
        <w:separator/>
      </w:r>
    </w:p>
    <w:p w:rsidR="004121AA" w:rsidRDefault="004121AA"/>
  </w:endnote>
  <w:endnote w:type="continuationSeparator" w:id="0">
    <w:p w:rsidR="004121AA" w:rsidRDefault="004121AA">
      <w:r>
        <w:continuationSeparator/>
      </w:r>
    </w:p>
    <w:p w:rsidR="004121AA" w:rsidRDefault="004121AA"/>
  </w:endnote>
  <w:endnote w:type="continuationNotice" w:id="1">
    <w:p w:rsidR="004121AA" w:rsidRDefault="004121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Droid Sans Fallback">
    <w:charset w:val="00"/>
    <w:family w:val="auto"/>
    <w:pitch w:val="default"/>
  </w:font>
  <w:font w:name="droid sans devanagari">
    <w:altName w:val="Times New Roman"/>
    <w:charset w:val="00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7D0" w:rsidRDefault="008F178A">
    <w:pPr>
      <w:pStyle w:val="Zpat"/>
      <w:rPr>
        <w:rFonts w:ascii="Arial" w:hAnsi="Arial" w:cs="Arial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3921760</wp:posOffset>
          </wp:positionH>
          <wp:positionV relativeFrom="paragraph">
            <wp:posOffset>-375920</wp:posOffset>
          </wp:positionV>
          <wp:extent cx="2930525" cy="1558290"/>
          <wp:effectExtent l="0" t="0" r="3175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930525" cy="155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Úsek kvality ovzduší</w:t>
    </w:r>
  </w:p>
  <w:p w:rsidR="002C07D0" w:rsidRDefault="008F178A">
    <w:pPr>
      <w:pStyle w:val="Zpa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ČHMÚ Praha-Komořany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4779724"/>
      <w:docPartObj>
        <w:docPartGallery w:val="Page Numbers (Bottom of Page)"/>
        <w:docPartUnique/>
      </w:docPartObj>
    </w:sdtPr>
    <w:sdtEndPr/>
    <w:sdtContent>
      <w:p w:rsidR="002C07D0" w:rsidRDefault="008F17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5F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1AA" w:rsidRDefault="004121AA">
      <w:r>
        <w:separator/>
      </w:r>
    </w:p>
    <w:p w:rsidR="004121AA" w:rsidRDefault="004121AA"/>
  </w:footnote>
  <w:footnote w:type="continuationSeparator" w:id="0">
    <w:p w:rsidR="004121AA" w:rsidRDefault="004121AA">
      <w:r>
        <w:continuationSeparator/>
      </w:r>
    </w:p>
    <w:p w:rsidR="004121AA" w:rsidRDefault="004121AA"/>
  </w:footnote>
  <w:footnote w:type="continuationNotice" w:id="1">
    <w:p w:rsidR="004121AA" w:rsidRDefault="004121AA">
      <w:pPr>
        <w:spacing w:after="0" w:line="240" w:lineRule="auto"/>
      </w:pPr>
    </w:p>
  </w:footnote>
  <w:footnote w:id="2">
    <w:p w:rsidR="00EC49D9" w:rsidRDefault="00EC49D9" w:rsidP="00EC49D9">
      <w:pPr>
        <w:pStyle w:val="Styl1-poznamka-pod-carou"/>
      </w:pPr>
      <w:r>
        <w:rPr>
          <w:rStyle w:val="Znakapoznpodarou"/>
        </w:rPr>
        <w:footnoteRef/>
      </w:r>
      <w:r>
        <w:t xml:space="preserve"> </w:t>
      </w:r>
      <w:hyperlink r:id="rId1" w:tooltip="https://www.chmi.cz/files/portal/docs/uoco/mes_zpravy/Rocni_zprava_2020.pdf" w:history="1">
        <w:r>
          <w:rPr>
            <w:rStyle w:val="Hypertextovodkaz"/>
          </w:rPr>
          <w:t>https://www.chmi.cz/files/portal/docs/uoco/mes_zpravy/Rocni_zprava_2020.pdf</w:t>
        </w:r>
      </w:hyperlink>
    </w:p>
  </w:footnote>
  <w:footnote w:id="3">
    <w:p w:rsidR="002C07D0" w:rsidRDefault="008F178A" w:rsidP="00864853">
      <w:pPr>
        <w:pStyle w:val="Styl1-poznamka-pod-carou"/>
      </w:pPr>
      <w:r>
        <w:rPr>
          <w:rStyle w:val="FootnoteCharacters"/>
        </w:rPr>
        <w:footnoteRef/>
      </w:r>
      <w:r>
        <w:t xml:space="preserve"> </w:t>
      </w:r>
      <w:r>
        <w:rPr>
          <w:rFonts w:eastAsia="Times New Roman"/>
        </w:rPr>
        <w:t>N</w:t>
      </w:r>
      <w:r>
        <w:t>everifikovaná data z manuálního imisního monitoringu mohou obsahovat chybné údaje a mohou být neúplná.</w:t>
      </w:r>
      <w:r>
        <w:rPr>
          <w:rFonts w:eastAsia="Times New Roman"/>
          <w:color w:val="7F0000"/>
          <w:lang w:val="en"/>
        </w:rPr>
        <w:t xml:space="preserve"> </w:t>
      </w:r>
    </w:p>
  </w:footnote>
  <w:footnote w:id="4">
    <w:p w:rsidR="002C07D0" w:rsidRDefault="008F178A">
      <w:pPr>
        <w:pStyle w:val="Styl1-poznamka-pod-carou"/>
      </w:pPr>
      <w:r>
        <w:rPr>
          <w:rStyle w:val="Znakapoznpodarou"/>
        </w:rPr>
        <w:footnoteRef/>
      </w:r>
      <w:r>
        <w:t xml:space="preserve"> Zdravotní ústavy a SZÚ</w:t>
      </w:r>
    </w:p>
  </w:footnote>
  <w:footnote w:id="5">
    <w:p w:rsidR="002C07D0" w:rsidRDefault="008F178A">
      <w:pPr>
        <w:pStyle w:val="Styl1-poznamka-pod-carou"/>
        <w:tabs>
          <w:tab w:val="left" w:pos="7165"/>
        </w:tabs>
        <w:rPr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rStyle w:val="Hypertextovodkaz"/>
        </w:rPr>
        <w:t>http://portal.chmi.cz/files/portal/docs/uoco/web_generator/exceed/index_CZ.html</w:t>
      </w:r>
      <w:r>
        <w:tab/>
      </w:r>
    </w:p>
  </w:footnote>
  <w:footnote w:id="6">
    <w:p w:rsidR="0095447A" w:rsidRDefault="0095447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E30DB3">
          <w:rPr>
            <w:rStyle w:val="Hypertextovodkaz"/>
          </w:rPr>
          <w:t>https://www.chmi.cz/files/portal/docs/poboc/OS/OCO/prehledy/mizerov_vernovice/prhl_kraj12.htm</w:t>
        </w:r>
      </w:hyperlink>
    </w:p>
  </w:footnote>
  <w:footnote w:id="7">
    <w:p w:rsidR="002C07D0" w:rsidRDefault="008F178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tooltip="http://portal.chmi.cz/files/portal/docs/reditel/SIS/nakladatelstvi/assets/101.pdf" w:history="1">
        <w:r>
          <w:rPr>
            <w:rStyle w:val="Hypertextovodkaz"/>
          </w:rPr>
          <w:t>http://portal.chmi.cz/files/portal/docs/reditel/SIS/nakladatelstvi/assets/101.pdf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7D0" w:rsidRDefault="008F178A">
    <w:pPr>
      <w:pStyle w:val="Zhlav"/>
      <w:tabs>
        <w:tab w:val="clear" w:pos="9072"/>
        <w:tab w:val="right" w:pos="9638"/>
        <w:tab w:val="left" w:pos="11907"/>
      </w:tabs>
    </w:pPr>
    <w:r>
      <w:rPr>
        <w:i/>
        <w:sz w:val="18"/>
        <w:szCs w:val="18"/>
        <w:lang w:eastAsia="cs-CZ"/>
      </w:rPr>
      <w:t>Předběžné zhodnocení kvality ovzduší a rozptylových podmínek v roce 2020</w:t>
    </w:r>
    <w:r>
      <w:rPr>
        <w:i/>
        <w:sz w:val="18"/>
        <w:szCs w:val="18"/>
        <w:lang w:eastAsia="cs-CZ"/>
      </w:rPr>
      <w:tab/>
      <w:t>zpráva ČHMÚ ze dne 10. 5. 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601B"/>
    <w:multiLevelType w:val="hybridMultilevel"/>
    <w:tmpl w:val="766CAF1E"/>
    <w:lvl w:ilvl="0" w:tplc="9D72B334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 w:tplc="43380BB4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54FA5B4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4858AA22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740C710C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31BA26EC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B72477E4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FD809BD0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E25EADA4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C1701"/>
    <w:multiLevelType w:val="hybridMultilevel"/>
    <w:tmpl w:val="5CEC251C"/>
    <w:lvl w:ilvl="0" w:tplc="16B80104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 w:tplc="3E12B358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BA9C897C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BFCA56EE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6DE0AFC8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36B2CFB0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0D48DB9E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FA5671F4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1CF67E1E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500E6796"/>
    <w:multiLevelType w:val="hybridMultilevel"/>
    <w:tmpl w:val="6636BFDC"/>
    <w:lvl w:ilvl="0" w:tplc="09FC4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3618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286B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2E89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7220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DC36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8E1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867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FAE5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A1521"/>
    <w:multiLevelType w:val="hybridMultilevel"/>
    <w:tmpl w:val="88547FA6"/>
    <w:lvl w:ilvl="0" w:tplc="60B8F72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F12A65C2">
      <w:start w:val="1"/>
      <w:numFmt w:val="lowerLetter"/>
      <w:lvlText w:val="%2."/>
      <w:lvlJc w:val="left"/>
      <w:pPr>
        <w:ind w:left="1440" w:hanging="360"/>
      </w:pPr>
    </w:lvl>
    <w:lvl w:ilvl="2" w:tplc="1E30A062">
      <w:start w:val="1"/>
      <w:numFmt w:val="lowerRoman"/>
      <w:lvlText w:val="%3."/>
      <w:lvlJc w:val="right"/>
      <w:pPr>
        <w:ind w:left="2160" w:hanging="180"/>
      </w:pPr>
    </w:lvl>
    <w:lvl w:ilvl="3" w:tplc="6474449E">
      <w:start w:val="1"/>
      <w:numFmt w:val="decimal"/>
      <w:lvlText w:val="%4."/>
      <w:lvlJc w:val="left"/>
      <w:pPr>
        <w:ind w:left="2880" w:hanging="360"/>
      </w:pPr>
    </w:lvl>
    <w:lvl w:ilvl="4" w:tplc="E47C02A6">
      <w:start w:val="1"/>
      <w:numFmt w:val="lowerLetter"/>
      <w:lvlText w:val="%5."/>
      <w:lvlJc w:val="left"/>
      <w:pPr>
        <w:ind w:left="3600" w:hanging="360"/>
      </w:pPr>
    </w:lvl>
    <w:lvl w:ilvl="5" w:tplc="F05EDB9C">
      <w:start w:val="1"/>
      <w:numFmt w:val="lowerRoman"/>
      <w:lvlText w:val="%6."/>
      <w:lvlJc w:val="right"/>
      <w:pPr>
        <w:ind w:left="4320" w:hanging="180"/>
      </w:pPr>
    </w:lvl>
    <w:lvl w:ilvl="6" w:tplc="6C6A89EC">
      <w:start w:val="1"/>
      <w:numFmt w:val="decimal"/>
      <w:lvlText w:val="%7."/>
      <w:lvlJc w:val="left"/>
      <w:pPr>
        <w:ind w:left="5040" w:hanging="360"/>
      </w:pPr>
    </w:lvl>
    <w:lvl w:ilvl="7" w:tplc="A2CC02A4">
      <w:start w:val="1"/>
      <w:numFmt w:val="lowerLetter"/>
      <w:lvlText w:val="%8."/>
      <w:lvlJc w:val="left"/>
      <w:pPr>
        <w:ind w:left="5760" w:hanging="360"/>
      </w:pPr>
    </w:lvl>
    <w:lvl w:ilvl="8" w:tplc="AF7A57C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006470"/>
    <w:multiLevelType w:val="hybridMultilevel"/>
    <w:tmpl w:val="C1C2E768"/>
    <w:lvl w:ilvl="0" w:tplc="3DDEE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E16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9CED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E41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E96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C224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2879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D6B2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0884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B46C0"/>
    <w:multiLevelType w:val="multilevel"/>
    <w:tmpl w:val="D68C3778"/>
    <w:lvl w:ilvl="0">
      <w:start w:val="1"/>
      <w:numFmt w:val="upperRoman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AD665E3"/>
    <w:multiLevelType w:val="hybridMultilevel"/>
    <w:tmpl w:val="2AA0C512"/>
    <w:lvl w:ilvl="0" w:tplc="C7DCEDEC">
      <w:start w:val="1"/>
      <w:numFmt w:val="upperRoman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  <w:lvl w:ilvl="1" w:tplc="2520A97E">
      <w:start w:val="1"/>
      <w:numFmt w:val="none"/>
      <w:suff w:val="nothing"/>
      <w:lvlText w:val=""/>
      <w:lvlJc w:val="left"/>
      <w:pPr>
        <w:ind w:left="9" w:hanging="576"/>
      </w:pPr>
      <w:rPr>
        <w:rFonts w:hint="default"/>
      </w:rPr>
    </w:lvl>
    <w:lvl w:ilvl="2" w:tplc="DB5295FC">
      <w:start w:val="1"/>
      <w:numFmt w:val="none"/>
      <w:suff w:val="nothing"/>
      <w:lvlText w:val=""/>
      <w:lvlJc w:val="left"/>
      <w:pPr>
        <w:ind w:left="153" w:hanging="720"/>
      </w:pPr>
      <w:rPr>
        <w:rFonts w:hint="default"/>
      </w:rPr>
    </w:lvl>
    <w:lvl w:ilvl="3" w:tplc="72360314">
      <w:start w:val="1"/>
      <w:numFmt w:val="none"/>
      <w:suff w:val="nothing"/>
      <w:lvlText w:val=""/>
      <w:lvlJc w:val="left"/>
      <w:pPr>
        <w:ind w:left="297" w:hanging="864"/>
      </w:pPr>
      <w:rPr>
        <w:rFonts w:hint="default"/>
      </w:rPr>
    </w:lvl>
    <w:lvl w:ilvl="4" w:tplc="82FEBE5E">
      <w:start w:val="1"/>
      <w:numFmt w:val="none"/>
      <w:suff w:val="nothing"/>
      <w:lvlText w:val=""/>
      <w:lvlJc w:val="left"/>
      <w:pPr>
        <w:ind w:left="441" w:hanging="1008"/>
      </w:pPr>
      <w:rPr>
        <w:rFonts w:hint="default"/>
      </w:rPr>
    </w:lvl>
    <w:lvl w:ilvl="5" w:tplc="C9D8FEC8">
      <w:start w:val="1"/>
      <w:numFmt w:val="none"/>
      <w:suff w:val="nothing"/>
      <w:lvlText w:val=""/>
      <w:lvlJc w:val="left"/>
      <w:pPr>
        <w:ind w:left="585" w:hanging="1152"/>
      </w:pPr>
      <w:rPr>
        <w:rFonts w:hint="default"/>
      </w:rPr>
    </w:lvl>
    <w:lvl w:ilvl="6" w:tplc="086A1578">
      <w:start w:val="1"/>
      <w:numFmt w:val="none"/>
      <w:suff w:val="nothing"/>
      <w:lvlText w:val=""/>
      <w:lvlJc w:val="left"/>
      <w:pPr>
        <w:ind w:left="729" w:hanging="1296"/>
      </w:pPr>
      <w:rPr>
        <w:rFonts w:hint="default"/>
      </w:rPr>
    </w:lvl>
    <w:lvl w:ilvl="7" w:tplc="08F060DC">
      <w:start w:val="1"/>
      <w:numFmt w:val="none"/>
      <w:suff w:val="nothing"/>
      <w:lvlText w:val=""/>
      <w:lvlJc w:val="left"/>
      <w:pPr>
        <w:ind w:left="873" w:hanging="1440"/>
      </w:pPr>
      <w:rPr>
        <w:rFonts w:hint="default"/>
      </w:rPr>
    </w:lvl>
    <w:lvl w:ilvl="8" w:tplc="571429E0">
      <w:start w:val="1"/>
      <w:numFmt w:val="none"/>
      <w:suff w:val="nothing"/>
      <w:lvlText w:val=""/>
      <w:lvlJc w:val="left"/>
      <w:pPr>
        <w:ind w:left="1017" w:hanging="1584"/>
      </w:pPr>
      <w:rPr>
        <w:rFonts w:hint="default"/>
      </w:rPr>
    </w:lvl>
  </w:abstractNum>
  <w:abstractNum w:abstractNumId="7" w15:restartNumberingAfterBreak="0">
    <w:nsid w:val="6D227FE7"/>
    <w:multiLevelType w:val="hybridMultilevel"/>
    <w:tmpl w:val="450656E4"/>
    <w:lvl w:ilvl="0" w:tplc="BFBC2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C62A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FE8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627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89B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BAB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E6B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067D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CC2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6"/>
  </w:num>
  <w:num w:numId="8">
    <w:abstractNumId w:val="3"/>
  </w:num>
  <w:num w:numId="9">
    <w:abstractNumId w:val="5"/>
  </w:num>
  <w:num w:numId="10">
    <w:abstractNumId w:val="5"/>
    <w:lvlOverride w:ilvl="0">
      <w:lvl w:ilvl="0">
        <w:start w:val="1"/>
        <w:numFmt w:val="upperRoman"/>
        <w:pStyle w:val="Nadpis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lowerRoman"/>
        <w:pStyle w:val="Nadpis2"/>
        <w:lvlText w:val="%1.%2"/>
        <w:lvlJc w:val="left"/>
        <w:pPr>
          <w:ind w:left="624" w:hanging="624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1">
    <w:abstractNumId w:val="5"/>
    <w:lvlOverride w:ilvl="0">
      <w:lvl w:ilvl="0">
        <w:start w:val="1"/>
        <w:numFmt w:val="upperRoman"/>
        <w:pStyle w:val="Nadpis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lowerLetter"/>
        <w:pStyle w:val="Nadpis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2">
    <w:abstractNumId w:val="5"/>
    <w:lvlOverride w:ilvl="0">
      <w:lvl w:ilvl="0">
        <w:start w:val="1"/>
        <w:numFmt w:val="upperRoman"/>
        <w:pStyle w:val="Nadpis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lowerRoman"/>
        <w:pStyle w:val="Nadpis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3">
    <w:abstractNumId w:val="7"/>
  </w:num>
  <w:num w:numId="14">
    <w:abstractNumId w:val="5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7D0"/>
    <w:rsid w:val="0004377E"/>
    <w:rsid w:val="000D59CD"/>
    <w:rsid w:val="00172F32"/>
    <w:rsid w:val="001964A2"/>
    <w:rsid w:val="001975F4"/>
    <w:rsid w:val="002C07D0"/>
    <w:rsid w:val="00392589"/>
    <w:rsid w:val="004121AA"/>
    <w:rsid w:val="005809B2"/>
    <w:rsid w:val="005D5932"/>
    <w:rsid w:val="007957E0"/>
    <w:rsid w:val="008053F9"/>
    <w:rsid w:val="00864853"/>
    <w:rsid w:val="008A4270"/>
    <w:rsid w:val="008F178A"/>
    <w:rsid w:val="009525AF"/>
    <w:rsid w:val="0095447A"/>
    <w:rsid w:val="00AC7DE7"/>
    <w:rsid w:val="00E01E5C"/>
    <w:rsid w:val="00E36204"/>
    <w:rsid w:val="00E92558"/>
    <w:rsid w:val="00EC49D9"/>
    <w:rsid w:val="00F6447E"/>
    <w:rsid w:val="00F7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B0FE31-D4A5-4AC4-BE46-CB0CDD61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80" w:line="288" w:lineRule="auto"/>
      <w:jc w:val="both"/>
    </w:pPr>
    <w:rPr>
      <w:rFonts w:eastAsia="Calibri"/>
      <w:color w:val="14387F"/>
      <w:sz w:val="24"/>
      <w:szCs w:val="22"/>
      <w:lang w:eastAsia="zh-CN"/>
    </w:rPr>
  </w:style>
  <w:style w:type="paragraph" w:styleId="Nadpis1">
    <w:name w:val="heading 1"/>
    <w:basedOn w:val="Normln"/>
    <w:next w:val="Normln"/>
    <w:link w:val="Nadpis1Char1"/>
    <w:uiPriority w:val="1"/>
    <w:qFormat/>
    <w:pPr>
      <w:numPr>
        <w:numId w:val="9"/>
      </w:numPr>
      <w:spacing w:before="240"/>
      <w:outlineLvl w:val="0"/>
    </w:pPr>
    <w:rPr>
      <w:b/>
      <w:color w:val="1F497D" w:themeColor="text2"/>
      <w:spacing w:val="6"/>
      <w:sz w:val="32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keepLines/>
      <w:numPr>
        <w:ilvl w:val="1"/>
        <w:numId w:val="9"/>
      </w:numPr>
      <w:spacing w:before="200"/>
      <w:outlineLvl w:val="1"/>
    </w:pPr>
    <w:rPr>
      <w:rFonts w:eastAsia="Cambria" w:cs="Cambria"/>
      <w:b/>
      <w:bCs/>
      <w:color w:val="4F81BD" w:themeColor="accent1"/>
      <w:spacing w:val="6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eastAsia="Cambria" w:hAnsi="Cambria" w:cs="Cambria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eastAsia="Cambria" w:hAnsi="Cambria" w:cs="Cambria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eastAsia="Cambria" w:hAnsi="Cambria" w:cs="Cambria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eastAsia="Cambria" w:hAnsi="Cambria" w:cs="Cambria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eastAsia="Cambria" w:hAnsi="Cambria" w:cs="Cambria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eastAsia="Cambria" w:hAnsi="Cambria" w:cs="Cambria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1">
    <w:name w:val="Nadpis 1 Char1"/>
    <w:basedOn w:val="Standardnpsmoodstavce"/>
    <w:link w:val="Nadpis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Standardnpsmoodstavce"/>
    <w:uiPriority w:val="10"/>
    <w:rPr>
      <w:sz w:val="48"/>
      <w:szCs w:val="48"/>
    </w:rPr>
  </w:style>
  <w:style w:type="character" w:customStyle="1" w:styleId="SubtitleChar">
    <w:name w:val="Subtitle Char"/>
    <w:basedOn w:val="Standardnpsmoodstavce"/>
    <w:uiPriority w:val="11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pPr>
      <w:ind w:left="720" w:right="720"/>
    </w:pPr>
    <w:rPr>
      <w:i/>
    </w:rPr>
  </w:style>
  <w:style w:type="character" w:customStyle="1" w:styleId="CittChar">
    <w:name w:val="Citát Char"/>
    <w:link w:val="Citt"/>
    <w:uiPriority w:val="29"/>
    <w:rPr>
      <w:i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VrazncittChar">
    <w:name w:val="Výrazný citát Char"/>
    <w:link w:val="Vrazncitt"/>
    <w:uiPriority w:val="30"/>
    <w:rPr>
      <w:i/>
    </w:rPr>
  </w:style>
  <w:style w:type="character" w:customStyle="1" w:styleId="ZhlavChar1">
    <w:name w:val="Záhlaví Char1"/>
    <w:basedOn w:val="Standardnpsmoodstavce"/>
    <w:link w:val="Zhlav"/>
    <w:uiPriority w:val="99"/>
  </w:style>
  <w:style w:type="character" w:customStyle="1" w:styleId="FooterChar">
    <w:name w:val="Footer Char"/>
    <w:basedOn w:val="Standardnpsmoodstavce"/>
    <w:uiPriority w:val="99"/>
  </w:style>
  <w:style w:type="character" w:customStyle="1" w:styleId="ZpatChar1">
    <w:name w:val="Zápatí Char1"/>
    <w:link w:val="Zpat"/>
    <w:uiPriority w:val="99"/>
  </w:style>
  <w:style w:type="table" w:styleId="Mkatabulky">
    <w:name w:val="Table Grid"/>
    <w:basedOn w:val="Normlntabulk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rosttabulka11">
    <w:name w:val="Prostá tabulka 11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rosttabulka21">
    <w:name w:val="Prostá tabulka 21"/>
    <w:basedOn w:val="Normlntabulka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rosttabulka31">
    <w:name w:val="Prostá tabulka 31"/>
    <w:basedOn w:val="Normlntabulka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rosttabulka41">
    <w:name w:val="Prostá tabulka 41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rosttabulka51">
    <w:name w:val="Prostá tabulka 51"/>
    <w:basedOn w:val="Normlntabulka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Svtltabulkasmkou11">
    <w:name w:val="Světlá tabulka s mřížkou 11"/>
    <w:basedOn w:val="Normlntabulka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ulkasmkou21">
    <w:name w:val="Tabulka s mřížkou 21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Tabulkasmkou31">
    <w:name w:val="Tabulka s mřížkou 31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Tabulkasmkou41">
    <w:name w:val="Tabulka s mřížkou 41"/>
    <w:basedOn w:val="Normlntabulka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Tmavtabulkasmkou51">
    <w:name w:val="Tmavá tabulka s mřížkou 51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Barevntabulkasmkou61">
    <w:name w:val="Barevná tabulka s mřížkou 61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Barevntabulkasmkou71">
    <w:name w:val="Barevná tabulka s mřížkou 71"/>
    <w:basedOn w:val="Normlntabulka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Svtltabulkaseznamu11">
    <w:name w:val="Světlá tabulka seznamu 11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Tabulkaseznamu21">
    <w:name w:val="Tabulka seznamu 21"/>
    <w:basedOn w:val="Normlntabulka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Tabulkaseznamu31">
    <w:name w:val="Tabulka seznamu 31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ulkaseznamu41">
    <w:name w:val="Tabulka seznamu 41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Tmavtabulkaseznamu51">
    <w:name w:val="Tmavá tabulka seznamu 51"/>
    <w:basedOn w:val="Normlntabulka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Barevntabulkaseznamu61">
    <w:name w:val="Barevná tabulka seznamu 61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Barevntabulkaseznamu71">
    <w:name w:val="Barevná tabulka seznamu 71"/>
    <w:basedOn w:val="Normlntabulka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Normlntabulka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TextpoznpodarouChar1">
    <w:name w:val="Text pozn. pod čarou Char1"/>
    <w:link w:val="Textpoznpodarou"/>
    <w:uiPriority w:val="99"/>
    <w:rPr>
      <w:sz w:val="18"/>
    </w:rPr>
  </w:style>
  <w:style w:type="character" w:customStyle="1" w:styleId="TextvysvtlivekChar1">
    <w:name w:val="Text vysvětlivek Char1"/>
    <w:link w:val="Textvysvtlivek"/>
    <w:uiPriority w:val="99"/>
    <w:rPr>
      <w:sz w:val="20"/>
    </w:rPr>
  </w:style>
  <w:style w:type="paragraph" w:styleId="Obsah3">
    <w:name w:val="toc 3"/>
    <w:basedOn w:val="Normln"/>
    <w:next w:val="Normln"/>
    <w:uiPriority w:val="39"/>
    <w:unhideWhenUsed/>
    <w:pPr>
      <w:spacing w:after="57"/>
      <w:ind w:left="567"/>
    </w:pPr>
  </w:style>
  <w:style w:type="paragraph" w:styleId="Obsah4">
    <w:name w:val="toc 4"/>
    <w:basedOn w:val="Normln"/>
    <w:next w:val="Normln"/>
    <w:uiPriority w:val="39"/>
    <w:unhideWhenUsed/>
    <w:pPr>
      <w:spacing w:after="57"/>
      <w:ind w:left="850"/>
    </w:pPr>
  </w:style>
  <w:style w:type="paragraph" w:styleId="Obsah5">
    <w:name w:val="toc 5"/>
    <w:basedOn w:val="Normln"/>
    <w:next w:val="Normln"/>
    <w:uiPriority w:val="39"/>
    <w:unhideWhenUsed/>
    <w:pPr>
      <w:spacing w:after="57"/>
      <w:ind w:left="1134"/>
    </w:pPr>
  </w:style>
  <w:style w:type="paragraph" w:styleId="Obsah6">
    <w:name w:val="toc 6"/>
    <w:basedOn w:val="Normln"/>
    <w:next w:val="Normln"/>
    <w:uiPriority w:val="39"/>
    <w:unhideWhenUsed/>
    <w:pPr>
      <w:spacing w:after="57"/>
      <w:ind w:left="1417"/>
    </w:pPr>
  </w:style>
  <w:style w:type="paragraph" w:styleId="Obsah7">
    <w:name w:val="toc 7"/>
    <w:basedOn w:val="Normln"/>
    <w:next w:val="Normln"/>
    <w:uiPriority w:val="39"/>
    <w:unhideWhenUsed/>
    <w:pPr>
      <w:spacing w:after="57"/>
      <w:ind w:left="1701"/>
    </w:pPr>
  </w:style>
  <w:style w:type="paragraph" w:styleId="Obsah8">
    <w:name w:val="toc 8"/>
    <w:basedOn w:val="Normln"/>
    <w:next w:val="Normln"/>
    <w:uiPriority w:val="39"/>
    <w:unhideWhenUsed/>
    <w:pPr>
      <w:spacing w:after="57"/>
      <w:ind w:left="1984"/>
    </w:pPr>
  </w:style>
  <w:style w:type="paragraph" w:styleId="Obsah9">
    <w:name w:val="toc 9"/>
    <w:basedOn w:val="Normln"/>
    <w:next w:val="Normln"/>
    <w:uiPriority w:val="39"/>
    <w:unhideWhenUsed/>
    <w:pPr>
      <w:spacing w:after="57"/>
      <w:ind w:left="2268"/>
    </w:p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eastAsia="Calibri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Standardnpsmoodstavce1">
    <w:name w:val="Standardní písmo odstavce1"/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  <w:uiPriority w:val="99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TextvysvtlivekChar">
    <w:name w:val="Text vysvětlivek Char"/>
  </w:style>
  <w:style w:type="character" w:customStyle="1" w:styleId="EndnoteCharacters">
    <w:name w:val="Endnote Characters"/>
    <w:rPr>
      <w:vertAlign w:val="superscript"/>
    </w:rPr>
  </w:style>
  <w:style w:type="character" w:customStyle="1" w:styleId="TextpoznpodarouChar">
    <w:name w:val="Text pozn. pod čarou Char"/>
    <w:uiPriority w:val="99"/>
  </w:style>
  <w:style w:type="character" w:customStyle="1" w:styleId="FootnoteCharacters">
    <w:name w:val="Footnote Characters"/>
    <w:rPr>
      <w:vertAlign w:val="superscript"/>
    </w:rPr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Nadpis1Char">
    <w:name w:val="Nadpis 1 Char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usercontent">
    <w:name w:val="usercontent"/>
  </w:style>
  <w:style w:type="character" w:customStyle="1" w:styleId="textexposedshow">
    <w:name w:val="text_exposed_show"/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</w:style>
  <w:style w:type="character" w:customStyle="1" w:styleId="PedmtkomenteChar">
    <w:name w:val="Předmět komentáře Char"/>
    <w:rPr>
      <w:b/>
      <w:bCs/>
    </w:rPr>
  </w:style>
  <w:style w:type="character" w:customStyle="1" w:styleId="WW-FootnoteCharacters">
    <w:name w:val="WW-Footnote Characters"/>
    <w:rPr>
      <w:vertAlign w:val="superscript"/>
    </w:rPr>
  </w:style>
  <w:style w:type="character" w:customStyle="1" w:styleId="textfont">
    <w:name w:val="textfont"/>
  </w:style>
  <w:style w:type="character" w:styleId="Sledovanodkaz">
    <w:name w:val="FollowedHyperlink"/>
    <w:rPr>
      <w:color w:val="800080"/>
      <w:u w:val="single"/>
    </w:rPr>
  </w:style>
  <w:style w:type="character" w:styleId="Znakapoznpodarou">
    <w:name w:val="footnote reference"/>
    <w:uiPriority w:val="99"/>
    <w:rPr>
      <w:vertAlign w:val="superscript"/>
    </w:rPr>
  </w:style>
  <w:style w:type="character" w:styleId="Odkaznavysvtlivky">
    <w:name w:val="endnote reference"/>
    <w:rPr>
      <w:vertAlign w:val="superscript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droid sans devanagari"/>
    </w:rPr>
  </w:style>
  <w:style w:type="paragraph" w:styleId="Titulek">
    <w:name w:val="caption"/>
    <w:basedOn w:val="Normln"/>
    <w:next w:val="Normln"/>
    <w:link w:val="TitulekChar"/>
    <w:uiPriority w:val="35"/>
    <w:qFormat/>
    <w:pPr>
      <w:suppressLineNumbers/>
      <w:spacing w:before="60" w:after="60" w:line="240" w:lineRule="auto"/>
    </w:pPr>
    <w:rPr>
      <w:rFonts w:ascii="Arial" w:hAnsi="Arial" w:cs="droid sans devanagari"/>
      <w:i/>
      <w:iCs/>
      <w:sz w:val="20"/>
      <w:szCs w:val="24"/>
    </w:rPr>
  </w:style>
  <w:style w:type="paragraph" w:customStyle="1" w:styleId="Index">
    <w:name w:val="Index"/>
    <w:basedOn w:val="Normln"/>
    <w:pPr>
      <w:suppressLineNumbers/>
    </w:pPr>
    <w:rPr>
      <w:rFonts w:cs="droid sans devanagari"/>
    </w:rPr>
  </w:style>
  <w:style w:type="paragraph" w:styleId="Zhlav">
    <w:name w:val="header"/>
    <w:basedOn w:val="Normln"/>
    <w:link w:val="ZhlavChar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1"/>
    <w:uiPriority w:val="9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1"/>
    <w:rPr>
      <w:sz w:val="20"/>
      <w:szCs w:val="20"/>
    </w:rPr>
  </w:style>
  <w:style w:type="paragraph" w:styleId="Textpoznpodarou">
    <w:name w:val="footnote text"/>
    <w:basedOn w:val="Normln"/>
    <w:link w:val="TextpoznpodarouChar1"/>
    <w:uiPriority w:val="99"/>
    <w:rPr>
      <w:sz w:val="20"/>
      <w:szCs w:val="20"/>
    </w:rPr>
  </w:style>
  <w:style w:type="paragraph" w:customStyle="1" w:styleId="Default">
    <w:name w:val="Default"/>
    <w:rPr>
      <w:rFonts w:ascii="Book Antiqua" w:eastAsia="Calibri" w:hAnsi="Book Antiqua" w:cs="Book Antiqua"/>
      <w:color w:val="000000"/>
      <w:sz w:val="24"/>
      <w:szCs w:val="24"/>
      <w:lang w:eastAsia="zh-CN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Revize">
    <w:name w:val="Revision"/>
    <w:rPr>
      <w:rFonts w:ascii="Calibri" w:eastAsia="Calibri" w:hAnsi="Calibri"/>
      <w:sz w:val="22"/>
      <w:szCs w:val="22"/>
      <w:lang w:eastAsia="zh-CN"/>
    </w:rPr>
  </w:style>
  <w:style w:type="paragraph" w:styleId="Nadpisobsahu">
    <w:name w:val="TOC Heading"/>
    <w:basedOn w:val="Nadpis1"/>
    <w:next w:val="Normln"/>
    <w:uiPriority w:val="39"/>
    <w:qFormat/>
    <w:pPr>
      <w:numPr>
        <w:numId w:val="0"/>
      </w:numPr>
      <w:outlineLvl w:val="9"/>
    </w:pPr>
  </w:style>
  <w:style w:type="paragraph" w:styleId="Obsah1">
    <w:name w:val="toc 1"/>
    <w:basedOn w:val="Normln"/>
    <w:next w:val="Normln"/>
    <w:uiPriority w:val="39"/>
  </w:style>
  <w:style w:type="paragraph" w:customStyle="1" w:styleId="Normln-bezodsazen">
    <w:name w:val="Normální - bez odsazení"/>
    <w:basedOn w:val="Normln"/>
    <w:pPr>
      <w:spacing w:after="120"/>
    </w:pPr>
    <w:rPr>
      <w:rFonts w:eastAsia="Times New Roman"/>
      <w:szCs w:val="24"/>
    </w:rPr>
  </w:style>
  <w:style w:type="paragraph" w:customStyle="1" w:styleId="Titulek1">
    <w:name w:val="Titulek1"/>
    <w:basedOn w:val="Normln"/>
    <w:next w:val="Normln"/>
    <w:rPr>
      <w:b/>
      <w:bCs/>
      <w:sz w:val="20"/>
      <w:szCs w:val="20"/>
    </w:r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Odkaznakoment">
    <w:name w:val="annotation referen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semiHidden/>
    <w:unhideWhenUsed/>
    <w:rPr>
      <w:sz w:val="20"/>
      <w:szCs w:val="20"/>
    </w:rPr>
  </w:style>
  <w:style w:type="character" w:customStyle="1" w:styleId="TextkomenteChar1">
    <w:name w:val="Text komentáře Char1"/>
    <w:link w:val="Textkomente"/>
    <w:uiPriority w:val="99"/>
    <w:semiHidden/>
    <w:rPr>
      <w:rFonts w:ascii="Calibri" w:eastAsia="Calibri" w:hAnsi="Calibri"/>
      <w:lang w:eastAsia="zh-CN"/>
    </w:rPr>
  </w:style>
  <w:style w:type="character" w:customStyle="1" w:styleId="Nadpis2Char">
    <w:name w:val="Nadpis 2 Char"/>
    <w:basedOn w:val="Standardnpsmoodstavce"/>
    <w:link w:val="Nadpis2"/>
    <w:uiPriority w:val="9"/>
    <w:rPr>
      <w:rFonts w:eastAsia="Cambria" w:cs="Cambria"/>
      <w:b/>
      <w:bCs/>
      <w:color w:val="4F81BD" w:themeColor="accent1"/>
      <w:spacing w:val="6"/>
      <w:sz w:val="28"/>
      <w:szCs w:val="26"/>
      <w:lang w:eastAsia="zh-CN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Cambria" w:eastAsia="Cambria" w:hAnsi="Cambria" w:cs="Cambria"/>
      <w:b/>
      <w:bCs/>
      <w:color w:val="4F81BD" w:themeColor="accent1"/>
      <w:sz w:val="24"/>
      <w:szCs w:val="22"/>
      <w:lang w:eastAsia="zh-CN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="Cambria" w:eastAsia="Cambria" w:hAnsi="Cambria" w:cs="Cambria"/>
      <w:b/>
      <w:bCs/>
      <w:i/>
      <w:iCs/>
      <w:color w:val="4F81BD" w:themeColor="accent1"/>
      <w:sz w:val="24"/>
      <w:szCs w:val="22"/>
      <w:lang w:eastAsia="zh-CN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="Cambria" w:eastAsia="Cambria" w:hAnsi="Cambria" w:cs="Cambria"/>
      <w:color w:val="243F60" w:themeColor="accent1" w:themeShade="7F"/>
      <w:sz w:val="24"/>
      <w:szCs w:val="2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2"/>
      <w:lang w:eastAsia="zh-CN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="Cambria" w:eastAsia="Cambria" w:hAnsi="Cambria" w:cs="Cambria"/>
      <w:i/>
      <w:iCs/>
      <w:color w:val="404040" w:themeColor="text1" w:themeTint="BF"/>
      <w:sz w:val="24"/>
      <w:szCs w:val="22"/>
      <w:lang w:eastAsia="zh-CN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="Cambria" w:eastAsia="Cambria" w:hAnsi="Cambria" w:cs="Cambria"/>
      <w:color w:val="404040" w:themeColor="text1" w:themeTint="BF"/>
      <w:lang w:eastAsia="zh-CN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="Cambria" w:eastAsia="Cambria" w:hAnsi="Cambria" w:cs="Cambria"/>
      <w:i/>
      <w:iCs/>
      <w:color w:val="404040" w:themeColor="text1" w:themeTint="BF"/>
      <w:lang w:eastAsia="zh-CN"/>
    </w:rPr>
  </w:style>
  <w:style w:type="paragraph" w:styleId="Obsah2">
    <w:name w:val="toc 2"/>
    <w:basedOn w:val="Normln"/>
    <w:next w:val="Normln"/>
    <w:uiPriority w:val="39"/>
    <w:unhideWhenUsed/>
    <w:pPr>
      <w:spacing w:after="100"/>
      <w:ind w:left="240"/>
    </w:pPr>
  </w:style>
  <w:style w:type="paragraph" w:customStyle="1" w:styleId="Styl1-titulek2">
    <w:name w:val="Styl1-titulek2"/>
    <w:basedOn w:val="Titulek"/>
    <w:link w:val="Styl1-titulek2Char"/>
    <w:qFormat/>
    <w:pPr>
      <w:jc w:val="right"/>
    </w:pPr>
    <w:rPr>
      <w:lang w:eastAsia="cs-CZ"/>
    </w:rPr>
  </w:style>
  <w:style w:type="paragraph" w:styleId="Bezmezer">
    <w:name w:val="No Spacing"/>
    <w:uiPriority w:val="1"/>
    <w:qFormat/>
    <w:pPr>
      <w:spacing w:line="288" w:lineRule="auto"/>
      <w:jc w:val="both"/>
    </w:pPr>
    <w:rPr>
      <w:rFonts w:eastAsia="Calibri"/>
      <w:color w:val="14387F"/>
      <w:sz w:val="24"/>
      <w:szCs w:val="22"/>
      <w:lang w:eastAsia="zh-CN"/>
    </w:rPr>
  </w:style>
  <w:style w:type="character" w:customStyle="1" w:styleId="TitulekChar">
    <w:name w:val="Titulek Char"/>
    <w:basedOn w:val="Standardnpsmoodstavce"/>
    <w:link w:val="Titulek"/>
    <w:uiPriority w:val="35"/>
    <w:rPr>
      <w:rFonts w:ascii="Arial" w:eastAsia="Calibri" w:hAnsi="Arial" w:cs="droid sans devanagari"/>
      <w:i/>
      <w:iCs/>
      <w:color w:val="14387F"/>
      <w:sz w:val="24"/>
      <w:szCs w:val="24"/>
      <w:lang w:eastAsia="zh-CN"/>
    </w:rPr>
  </w:style>
  <w:style w:type="character" w:customStyle="1" w:styleId="Styl1-titulek2Char">
    <w:name w:val="Styl1-titulek2 Char"/>
    <w:basedOn w:val="TitulekChar"/>
    <w:link w:val="Styl1-titulek2"/>
    <w:rPr>
      <w:rFonts w:ascii="Arial" w:eastAsia="Calibri" w:hAnsi="Arial" w:cs="droid sans devanagari"/>
      <w:i/>
      <w:iCs/>
      <w:color w:val="14387F"/>
      <w:sz w:val="24"/>
      <w:szCs w:val="24"/>
      <w:lang w:eastAsia="zh-CN"/>
    </w:rPr>
  </w:style>
  <w:style w:type="paragraph" w:customStyle="1" w:styleId="Styl1-poznamka-pod-carou">
    <w:name w:val="Styl1-poznamka-pod-carou"/>
    <w:basedOn w:val="Bezmezer"/>
    <w:qFormat/>
    <w:rPr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paragraph" w:styleId="Nzev">
    <w:name w:val="Title"/>
    <w:basedOn w:val="Nadpis1"/>
    <w:next w:val="Normln"/>
    <w:link w:val="NzevChar"/>
    <w:uiPriority w:val="10"/>
    <w:qFormat/>
    <w:pPr>
      <w:keepNext/>
      <w:keepLines/>
      <w:numPr>
        <w:numId w:val="0"/>
      </w:numPr>
      <w:spacing w:before="1800" w:after="360" w:line="240" w:lineRule="auto"/>
      <w:jc w:val="left"/>
    </w:pPr>
    <w:rPr>
      <w:rFonts w:ascii="Arial" w:eastAsia="Cambria" w:hAnsi="Arial" w:cs="Cambria"/>
      <w:color w:val="14387F"/>
      <w:spacing w:val="0"/>
      <w:sz w:val="76"/>
      <w:szCs w:val="7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Pr>
      <w:rFonts w:ascii="Arial" w:eastAsia="Cambria" w:hAnsi="Arial" w:cs="Cambria"/>
      <w:b/>
      <w:color w:val="14387F"/>
      <w:sz w:val="76"/>
      <w:szCs w:val="72"/>
      <w:lang w:eastAsia="en-US"/>
    </w:rPr>
  </w:style>
  <w:style w:type="paragraph" w:customStyle="1" w:styleId="Nadpiskontakt">
    <w:name w:val="Nadpis kontakt"/>
    <w:basedOn w:val="Normln"/>
    <w:qFormat/>
    <w:pPr>
      <w:spacing w:before="400" w:after="960" w:line="339" w:lineRule="exact"/>
      <w:jc w:val="left"/>
    </w:pPr>
    <w:rPr>
      <w:rFonts w:ascii="Arial" w:hAnsi="Arial" w:cs="Arial"/>
      <w:sz w:val="40"/>
      <w:szCs w:val="26"/>
      <w:lang w:eastAsia="en-US"/>
    </w:rPr>
  </w:style>
  <w:style w:type="paragraph" w:styleId="Podnadpis">
    <w:name w:val="Subtitle"/>
    <w:basedOn w:val="Nadpis2"/>
    <w:next w:val="Normln"/>
    <w:link w:val="PodnadpisChar"/>
    <w:uiPriority w:val="11"/>
    <w:qFormat/>
    <w:pPr>
      <w:numPr>
        <w:ilvl w:val="0"/>
        <w:numId w:val="0"/>
      </w:numPr>
    </w:pPr>
  </w:style>
  <w:style w:type="character" w:customStyle="1" w:styleId="PodnadpisChar">
    <w:name w:val="Podnadpis Char"/>
    <w:basedOn w:val="Standardnpsmoodstavce"/>
    <w:link w:val="Podnadpis"/>
    <w:uiPriority w:val="11"/>
    <w:rPr>
      <w:rFonts w:eastAsia="Cambria" w:cs="Cambria"/>
      <w:b/>
      <w:bCs/>
      <w:color w:val="4F81BD" w:themeColor="accent1"/>
      <w:spacing w:val="6"/>
      <w:sz w:val="28"/>
      <w:szCs w:val="26"/>
      <w:lang w:eastAsia="zh-CN"/>
    </w:rPr>
  </w:style>
  <w:style w:type="paragraph" w:styleId="Prosttext">
    <w:name w:val="Plain Text"/>
    <w:basedOn w:val="Normln"/>
    <w:link w:val="ProsttextChar"/>
    <w:uiPriority w:val="99"/>
    <w:unhideWhenUsed/>
    <w:pPr>
      <w:spacing w:after="0" w:line="240" w:lineRule="auto"/>
      <w:jc w:val="left"/>
    </w:pPr>
    <w:rPr>
      <w:rFonts w:ascii="Calibri" w:hAnsi="Calibri" w:cs="Calibri"/>
      <w:color w:val="auto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Pr>
      <w:rFonts w:ascii="Calibri" w:eastAsia="Calibri" w:hAnsi="Calibri" w:cs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42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chmi.cz/files/portal/docs/reditel/SIS/nakladatelstvi/assets/101.pdf" TargetMode="External"/><Relationship Id="rId2" Type="http://schemas.openxmlformats.org/officeDocument/2006/relationships/hyperlink" Target="https://www.chmi.cz/files/portal/docs/poboc/OS/OCO/prehledy/mizerov_vernovice/prhl_kraj12.htm" TargetMode="External"/><Relationship Id="rId1" Type="http://schemas.openxmlformats.org/officeDocument/2006/relationships/hyperlink" Target="https://www.chmi.cz/files/portal/docs/uoco/mes_zpravy/Rocni_zprava_2020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B976A409-5566-4DA5-8ED1-772A65184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2803</Words>
  <Characters>16541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ČHMÚ</Company>
  <LinksUpToDate>false</LinksUpToDate>
  <CharactersWithSpaces>19306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</dc:creator>
  <cp:lastModifiedBy>MARTINA SOUČKOVÁ, Mgr.</cp:lastModifiedBy>
  <cp:revision>2</cp:revision>
  <dcterms:created xsi:type="dcterms:W3CDTF">2021-05-10T05:08:00Z</dcterms:created>
  <dcterms:modified xsi:type="dcterms:W3CDTF">2021-05-10T05:08:00Z</dcterms:modified>
</cp:coreProperties>
</file>