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975ED" w14:textId="09E7387E" w:rsidR="003C4E77" w:rsidRPr="00A3102D" w:rsidRDefault="00A3102D" w:rsidP="00A3102D">
      <w:pPr>
        <w:spacing w:line="259" w:lineRule="auto"/>
        <w:ind w:right="142"/>
        <w:rPr>
          <w:rFonts w:ascii="Arial" w:eastAsia="MS Gothic" w:hAnsi="Arial"/>
          <w:b/>
          <w:color w:val="14387F"/>
          <w:sz w:val="80"/>
          <w:szCs w:val="80"/>
          <w:lang w:eastAsia="ar-SA"/>
        </w:rPr>
      </w:pPr>
      <w:r w:rsidRPr="00A3102D">
        <w:rPr>
          <w:rFonts w:ascii="Arial" w:eastAsia="MS Gothic" w:hAnsi="Arial"/>
          <w:b/>
          <w:color w:val="14387F"/>
          <w:sz w:val="80"/>
          <w:szCs w:val="80"/>
          <w:lang w:eastAsia="ar-SA"/>
        </w:rPr>
        <w:t>Předběžná zpráva s</w:t>
      </w:r>
      <w:r w:rsidR="002E0088">
        <w:rPr>
          <w:rFonts w:ascii="Arial" w:eastAsia="MS Gothic" w:hAnsi="Arial"/>
          <w:b/>
          <w:color w:val="14387F"/>
          <w:sz w:val="80"/>
          <w:szCs w:val="80"/>
          <w:lang w:eastAsia="ar-SA"/>
        </w:rPr>
        <w:t> </w:t>
      </w:r>
      <w:r w:rsidRPr="00A3102D">
        <w:rPr>
          <w:rFonts w:ascii="Arial" w:eastAsia="MS Gothic" w:hAnsi="Arial"/>
          <w:b/>
          <w:color w:val="14387F"/>
          <w:sz w:val="80"/>
          <w:szCs w:val="80"/>
          <w:lang w:eastAsia="ar-SA"/>
        </w:rPr>
        <w:t>hodnocením kvality ovzduší za rok 202</w:t>
      </w:r>
      <w:r w:rsidR="00EA418A">
        <w:rPr>
          <w:rFonts w:ascii="Arial" w:eastAsia="MS Gothic" w:hAnsi="Arial"/>
          <w:b/>
          <w:color w:val="14387F"/>
          <w:sz w:val="80"/>
          <w:szCs w:val="80"/>
          <w:lang w:eastAsia="ar-SA"/>
        </w:rPr>
        <w:t>4</w:t>
      </w:r>
    </w:p>
    <w:p w14:paraId="372DB6B3" w14:textId="77777777" w:rsidR="00A3102D" w:rsidRPr="00A3102D" w:rsidRDefault="00A3102D" w:rsidP="00A3102D">
      <w:pPr>
        <w:spacing w:line="259" w:lineRule="auto"/>
        <w:ind w:right="142"/>
        <w:rPr>
          <w:color w:val="14387F"/>
          <w:sz w:val="22"/>
        </w:rPr>
      </w:pPr>
    </w:p>
    <w:p w14:paraId="229B6525" w14:textId="77777777" w:rsidR="00986931" w:rsidRDefault="007215C9" w:rsidP="007215C9">
      <w:pPr>
        <w:spacing w:before="120" w:after="120" w:line="264" w:lineRule="auto"/>
        <w:jc w:val="both"/>
        <w:rPr>
          <w:rFonts w:eastAsia="Calibri"/>
          <w:b/>
          <w:color w:val="14387F"/>
          <w:sz w:val="22"/>
          <w:szCs w:val="20"/>
          <w:lang w:eastAsia="cs-CZ"/>
        </w:rPr>
      </w:pPr>
      <w:r w:rsidRPr="007215C9">
        <w:rPr>
          <w:rFonts w:eastAsia="Calibri"/>
          <w:b/>
          <w:color w:val="14387F"/>
          <w:sz w:val="22"/>
          <w:szCs w:val="20"/>
          <w:lang w:eastAsia="cs-CZ"/>
        </w:rPr>
        <w:t xml:space="preserve">Rok 2024 byl z hlediska kvality ovzduší vyhovující. Prodloužil tak období od roku 2020, kdy lze konstatovat, že koncentrace látek znečišťujících ovzduší byly výrazně nižší než v předchozím období. </w:t>
      </w:r>
    </w:p>
    <w:p w14:paraId="6643E7FC" w14:textId="65FA418D" w:rsidR="007215C9" w:rsidRPr="007215C9" w:rsidRDefault="007215C9" w:rsidP="007215C9">
      <w:pPr>
        <w:spacing w:before="120" w:after="120" w:line="264" w:lineRule="auto"/>
        <w:jc w:val="both"/>
        <w:rPr>
          <w:rFonts w:eastAsia="Calibri"/>
          <w:color w:val="14387F"/>
          <w:sz w:val="22"/>
          <w:szCs w:val="20"/>
          <w:lang w:eastAsia="cs-CZ"/>
        </w:rPr>
      </w:pPr>
      <w:r w:rsidRPr="007215C9">
        <w:rPr>
          <w:rFonts w:eastAsia="Calibri"/>
          <w:b/>
          <w:color w:val="14387F"/>
          <w:sz w:val="22"/>
          <w:szCs w:val="20"/>
          <w:lang w:eastAsia="cs-CZ"/>
        </w:rPr>
        <w:br/>
      </w:r>
      <w:r w:rsidRPr="007215C9">
        <w:rPr>
          <w:rFonts w:eastAsia="Calibri"/>
          <w:color w:val="14387F"/>
          <w:sz w:val="22"/>
          <w:szCs w:val="20"/>
          <w:lang w:eastAsia="cs-CZ"/>
        </w:rPr>
        <w:t>U některých látek (suspendované částice PM</w:t>
      </w:r>
      <w:r w:rsidRPr="007215C9">
        <w:rPr>
          <w:rFonts w:eastAsia="Calibri"/>
          <w:color w:val="14387F"/>
          <w:sz w:val="22"/>
          <w:szCs w:val="20"/>
          <w:vertAlign w:val="subscript"/>
          <w:lang w:eastAsia="cs-CZ"/>
        </w:rPr>
        <w:t>10</w:t>
      </w:r>
      <w:r w:rsidRPr="007215C9">
        <w:rPr>
          <w:rFonts w:eastAsia="Calibri"/>
          <w:color w:val="14387F"/>
          <w:sz w:val="22"/>
          <w:szCs w:val="20"/>
          <w:lang w:eastAsia="cs-CZ"/>
        </w:rPr>
        <w:t xml:space="preserve"> a PM</w:t>
      </w:r>
      <w:r w:rsidR="000570BC">
        <w:rPr>
          <w:rFonts w:eastAsia="Calibri"/>
          <w:color w:val="14387F"/>
          <w:sz w:val="22"/>
          <w:szCs w:val="20"/>
          <w:vertAlign w:val="subscript"/>
          <w:lang w:eastAsia="cs-CZ"/>
        </w:rPr>
        <w:t xml:space="preserve">2,5 </w:t>
      </w:r>
      <w:r w:rsidR="000570BC">
        <w:rPr>
          <w:rFonts w:eastAsia="Calibri"/>
          <w:color w:val="14387F"/>
          <w:sz w:val="22"/>
          <w:szCs w:val="20"/>
          <w:lang w:eastAsia="cs-CZ"/>
        </w:rPr>
        <w:t>a oxid uhelnatý (</w:t>
      </w:r>
      <w:r w:rsidR="00CA05F0">
        <w:rPr>
          <w:rFonts w:eastAsia="Calibri"/>
          <w:color w:val="14387F"/>
          <w:sz w:val="22"/>
          <w:szCs w:val="20"/>
          <w:lang w:eastAsia="cs-CZ"/>
        </w:rPr>
        <w:t>CO</w:t>
      </w:r>
      <w:r w:rsidRPr="007215C9">
        <w:rPr>
          <w:rFonts w:eastAsia="Calibri"/>
          <w:color w:val="14387F"/>
          <w:sz w:val="22"/>
          <w:szCs w:val="20"/>
          <w:lang w:eastAsia="cs-CZ"/>
        </w:rPr>
        <w:t>) se však oproti historickým minimům v roce 2023 koncentrace mírně zvýšily a v roce 2024 dosáhly druhých nejnižších hodnot. Koncentrace oxidu dusičitého (NO</w:t>
      </w:r>
      <w:r w:rsidRPr="007215C9">
        <w:rPr>
          <w:rFonts w:eastAsia="Calibri"/>
          <w:color w:val="14387F"/>
          <w:sz w:val="22"/>
          <w:szCs w:val="20"/>
          <w:vertAlign w:val="subscript"/>
          <w:lang w:eastAsia="cs-CZ"/>
        </w:rPr>
        <w:t>2</w:t>
      </w:r>
      <w:r w:rsidRPr="007215C9">
        <w:rPr>
          <w:rFonts w:eastAsia="Calibri"/>
          <w:color w:val="14387F"/>
          <w:sz w:val="22"/>
          <w:szCs w:val="20"/>
          <w:lang w:eastAsia="cs-CZ"/>
        </w:rPr>
        <w:t>) opět nepatrně klesly a dosáhly v roce 2024 nejnižších hodnot jak za hodnocené období 2014–2024, tak za celou historii měření. U koncentrací oxidu siřičitého (SO</w:t>
      </w:r>
      <w:r w:rsidRPr="007215C9">
        <w:rPr>
          <w:rFonts w:eastAsia="Calibri"/>
          <w:color w:val="14387F"/>
          <w:sz w:val="22"/>
          <w:szCs w:val="20"/>
          <w:vertAlign w:val="subscript"/>
          <w:lang w:eastAsia="cs-CZ"/>
        </w:rPr>
        <w:t>2</w:t>
      </w:r>
      <w:r w:rsidRPr="007215C9">
        <w:rPr>
          <w:rFonts w:eastAsia="Calibri"/>
          <w:color w:val="14387F"/>
          <w:sz w:val="22"/>
          <w:szCs w:val="20"/>
          <w:lang w:eastAsia="cs-CZ"/>
        </w:rPr>
        <w:t>) došlo v roce 2024 k navýšení celorepublikového průměru koncentrací, což bylo způsobeno vyššími koncentracemi v Ústeckém kraji</w:t>
      </w:r>
      <w:r>
        <w:rPr>
          <w:rFonts w:eastAsia="Calibri"/>
          <w:color w:val="14387F"/>
          <w:sz w:val="22"/>
          <w:szCs w:val="20"/>
          <w:lang w:eastAsia="cs-CZ"/>
        </w:rPr>
        <w:t xml:space="preserve">. </w:t>
      </w:r>
      <w:r w:rsidRPr="007215C9">
        <w:rPr>
          <w:rFonts w:eastAsia="Calibri"/>
          <w:color w:val="14387F"/>
          <w:sz w:val="22"/>
          <w:szCs w:val="20"/>
          <w:lang w:eastAsia="cs-CZ"/>
        </w:rPr>
        <w:t>Koncentrace přízemního ozonu (O</w:t>
      </w:r>
      <w:r w:rsidRPr="007215C9">
        <w:rPr>
          <w:rFonts w:eastAsia="Calibri"/>
          <w:color w:val="14387F"/>
          <w:sz w:val="22"/>
          <w:szCs w:val="20"/>
          <w:vertAlign w:val="subscript"/>
          <w:lang w:eastAsia="cs-CZ"/>
        </w:rPr>
        <w:t>3</w:t>
      </w:r>
      <w:r w:rsidRPr="007215C9">
        <w:rPr>
          <w:rFonts w:eastAsia="Calibri"/>
          <w:color w:val="14387F"/>
          <w:sz w:val="22"/>
          <w:szCs w:val="20"/>
          <w:lang w:eastAsia="cs-CZ"/>
        </w:rPr>
        <w:t>)</w:t>
      </w:r>
      <w:r w:rsidR="00CA05F0">
        <w:rPr>
          <w:rFonts w:eastAsia="Calibri"/>
          <w:color w:val="14387F"/>
          <w:sz w:val="22"/>
          <w:szCs w:val="20"/>
          <w:vertAlign w:val="subscript"/>
          <w:lang w:eastAsia="cs-CZ"/>
        </w:rPr>
        <w:t xml:space="preserve"> </w:t>
      </w:r>
      <w:r w:rsidR="00CA05F0">
        <w:rPr>
          <w:rFonts w:eastAsia="Calibri"/>
          <w:color w:val="14387F"/>
          <w:sz w:val="22"/>
          <w:szCs w:val="20"/>
          <w:lang w:eastAsia="cs-CZ"/>
        </w:rPr>
        <w:t>v r</w:t>
      </w:r>
      <w:r w:rsidRPr="007215C9">
        <w:rPr>
          <w:rFonts w:eastAsia="Calibri"/>
          <w:color w:val="14387F"/>
          <w:sz w:val="22"/>
          <w:szCs w:val="20"/>
          <w:lang w:eastAsia="cs-CZ"/>
        </w:rPr>
        <w:t>oce 2024 byly v rámci jedenáctiletého období 2014–2024 páté nejnižší</w:t>
      </w:r>
      <w:r>
        <w:rPr>
          <w:rFonts w:eastAsia="Calibri"/>
          <w:color w:val="14387F"/>
          <w:sz w:val="22"/>
          <w:szCs w:val="20"/>
          <w:lang w:eastAsia="cs-CZ"/>
        </w:rPr>
        <w:t>.</w:t>
      </w:r>
    </w:p>
    <w:p w14:paraId="5627A382" w14:textId="057C1227" w:rsidR="007215C9" w:rsidRPr="007215C9" w:rsidRDefault="007215C9" w:rsidP="007215C9">
      <w:pPr>
        <w:spacing w:before="120" w:after="120" w:line="264" w:lineRule="auto"/>
        <w:jc w:val="both"/>
        <w:rPr>
          <w:rFonts w:eastAsia="Calibri"/>
          <w:color w:val="14387F"/>
          <w:sz w:val="22"/>
          <w:szCs w:val="20"/>
          <w:lang w:eastAsia="cs-CZ"/>
        </w:rPr>
      </w:pPr>
      <w:r w:rsidRPr="007215C9">
        <w:rPr>
          <w:rFonts w:eastAsia="Calibri"/>
          <w:color w:val="14387F"/>
          <w:sz w:val="22"/>
          <w:szCs w:val="20"/>
          <w:lang w:eastAsia="cs-CZ"/>
        </w:rPr>
        <w:t>V roce 2024 splnily všechny hodnocené znečišťující látky, s výjimkou přízemního O</w:t>
      </w:r>
      <w:r w:rsidRPr="007215C9">
        <w:rPr>
          <w:rFonts w:eastAsia="Calibri"/>
          <w:color w:val="14387F"/>
          <w:sz w:val="22"/>
          <w:szCs w:val="20"/>
          <w:vertAlign w:val="subscript"/>
          <w:lang w:eastAsia="cs-CZ"/>
        </w:rPr>
        <w:t>3</w:t>
      </w:r>
      <w:r w:rsidR="00CA05F0">
        <w:rPr>
          <w:rFonts w:eastAsia="Calibri"/>
          <w:color w:val="14387F"/>
          <w:sz w:val="22"/>
          <w:szCs w:val="20"/>
          <w:lang w:eastAsia="cs-CZ"/>
        </w:rPr>
        <w:t>, imisní limity podle současné</w:t>
      </w:r>
      <w:r w:rsidRPr="007215C9">
        <w:rPr>
          <w:rFonts w:eastAsia="Calibri"/>
          <w:color w:val="14387F"/>
          <w:sz w:val="22"/>
          <w:szCs w:val="20"/>
          <w:lang w:eastAsia="cs-CZ"/>
        </w:rPr>
        <w:t xml:space="preserve"> platné legislativy. Imisní limit přízemního </w:t>
      </w:r>
      <w:r w:rsidRPr="007215C9">
        <w:rPr>
          <w:rFonts w:eastAsia="Calibri"/>
          <w:bCs/>
          <w:color w:val="14387F"/>
          <w:sz w:val="22"/>
          <w:szCs w:val="20"/>
          <w:lang w:eastAsia="cs-CZ"/>
        </w:rPr>
        <w:t>O</w:t>
      </w:r>
      <w:r w:rsidRPr="007215C9">
        <w:rPr>
          <w:rFonts w:eastAsia="Calibri"/>
          <w:color w:val="14387F"/>
          <w:sz w:val="22"/>
          <w:szCs w:val="20"/>
          <w:vertAlign w:val="subscript"/>
          <w:lang w:eastAsia="cs-CZ"/>
        </w:rPr>
        <w:t>3</w:t>
      </w:r>
      <w:r w:rsidRPr="007215C9">
        <w:rPr>
          <w:rFonts w:eastAsia="Calibri"/>
          <w:color w:val="14387F"/>
          <w:sz w:val="22"/>
          <w:szCs w:val="20"/>
          <w:lang w:eastAsia="cs-CZ"/>
        </w:rPr>
        <w:t xml:space="preserve"> byl překročen na 10 % stanic, tj. na 7 z 68 stanic. K překročení současných imisních limitů suspendovaných částic PM</w:t>
      </w:r>
      <w:r w:rsidRPr="007215C9">
        <w:rPr>
          <w:rFonts w:eastAsia="Calibri"/>
          <w:color w:val="14387F"/>
          <w:sz w:val="22"/>
          <w:szCs w:val="20"/>
          <w:vertAlign w:val="subscript"/>
          <w:lang w:eastAsia="cs-CZ"/>
        </w:rPr>
        <w:t>10</w:t>
      </w:r>
      <w:r w:rsidRPr="007215C9">
        <w:rPr>
          <w:rFonts w:eastAsia="Calibri"/>
          <w:color w:val="14387F"/>
          <w:sz w:val="22"/>
          <w:szCs w:val="20"/>
          <w:lang w:eastAsia="cs-CZ"/>
        </w:rPr>
        <w:t xml:space="preserve"> a PM</w:t>
      </w:r>
      <w:r w:rsidRPr="007215C9">
        <w:rPr>
          <w:rFonts w:eastAsia="Calibri"/>
          <w:color w:val="14387F"/>
          <w:sz w:val="22"/>
          <w:szCs w:val="20"/>
          <w:vertAlign w:val="subscript"/>
          <w:lang w:eastAsia="cs-CZ"/>
        </w:rPr>
        <w:t>2,5</w:t>
      </w:r>
      <w:r w:rsidRPr="007215C9">
        <w:rPr>
          <w:rFonts w:eastAsia="Calibri"/>
          <w:color w:val="14387F"/>
          <w:sz w:val="22"/>
          <w:szCs w:val="20"/>
          <w:lang w:eastAsia="cs-CZ"/>
        </w:rPr>
        <w:t xml:space="preserve"> nedošlo podruhé v řadě, k překročení současných imisních limitů pro NO</w:t>
      </w:r>
      <w:r w:rsidRPr="007215C9">
        <w:rPr>
          <w:rFonts w:eastAsia="Calibri"/>
          <w:color w:val="14387F"/>
          <w:sz w:val="22"/>
          <w:szCs w:val="20"/>
          <w:vertAlign w:val="subscript"/>
          <w:lang w:eastAsia="cs-CZ"/>
        </w:rPr>
        <w:t>2</w:t>
      </w:r>
      <w:r w:rsidRPr="007215C9">
        <w:rPr>
          <w:rFonts w:eastAsia="Calibri"/>
          <w:color w:val="14387F"/>
          <w:sz w:val="22"/>
          <w:szCs w:val="20"/>
          <w:lang w:eastAsia="cs-CZ"/>
        </w:rPr>
        <w:t>, SO</w:t>
      </w:r>
      <w:r w:rsidRPr="007215C9">
        <w:rPr>
          <w:rFonts w:eastAsia="Calibri"/>
          <w:color w:val="14387F"/>
          <w:sz w:val="22"/>
          <w:szCs w:val="20"/>
          <w:vertAlign w:val="subscript"/>
          <w:lang w:eastAsia="cs-CZ"/>
        </w:rPr>
        <w:t>2</w:t>
      </w:r>
      <w:r w:rsidRPr="007215C9">
        <w:rPr>
          <w:rFonts w:eastAsia="Calibri"/>
          <w:color w:val="14387F"/>
          <w:sz w:val="22"/>
          <w:szCs w:val="20"/>
          <w:lang w:eastAsia="cs-CZ"/>
        </w:rPr>
        <w:t xml:space="preserve"> a CO nedochází již řadu let.</w:t>
      </w:r>
    </w:p>
    <w:p w14:paraId="49B8A0D2" w14:textId="47CD9C52" w:rsidR="007215C9" w:rsidRDefault="007215C9" w:rsidP="007215C9">
      <w:pPr>
        <w:spacing w:before="120" w:after="120" w:line="264" w:lineRule="auto"/>
        <w:jc w:val="both"/>
        <w:rPr>
          <w:rFonts w:eastAsia="Calibri"/>
          <w:color w:val="14387F"/>
          <w:sz w:val="22"/>
          <w:szCs w:val="20"/>
          <w:lang w:eastAsia="cs-CZ"/>
        </w:rPr>
      </w:pPr>
      <w:r w:rsidRPr="007215C9">
        <w:rPr>
          <w:rFonts w:eastAsia="Calibri"/>
          <w:color w:val="14387F"/>
          <w:sz w:val="22"/>
          <w:szCs w:val="20"/>
          <w:lang w:eastAsia="cs-CZ"/>
        </w:rPr>
        <w:t>K relativně dobré kvalitě ovzduší v ČR v roce 2024, s výjimkou přízemního O</w:t>
      </w:r>
      <w:r w:rsidRPr="007215C9">
        <w:rPr>
          <w:rFonts w:eastAsia="Calibri"/>
          <w:color w:val="14387F"/>
          <w:sz w:val="22"/>
          <w:szCs w:val="20"/>
          <w:vertAlign w:val="subscript"/>
          <w:lang w:eastAsia="cs-CZ"/>
        </w:rPr>
        <w:t>3</w:t>
      </w:r>
      <w:r w:rsidRPr="007215C9">
        <w:rPr>
          <w:rFonts w:eastAsia="Calibri"/>
          <w:color w:val="14387F"/>
          <w:sz w:val="22"/>
          <w:szCs w:val="20"/>
          <w:lang w:eastAsia="cs-CZ"/>
        </w:rPr>
        <w:t>, přispěly zejména nižší koncentrace látek znečišťujících ovzduší během některých měsíců zimního období. Zejména v únoru převažovaly z pohledu kvality ovzduší příznivé meteorologické podmínky, jako byly zlepšené rozptylové podmínky, mimořádně nadnormální teploty a nadnormální srážky. Na dlouhodobém zlepšování kvality ovzduší se podílejí průběžně realizovaná opatření. Jedná se například o výměnu kotlů v domácnostech, opatření na významných zdrojích emisí nebo</w:t>
      </w:r>
      <w:r w:rsidR="0036234F">
        <w:rPr>
          <w:rFonts w:eastAsia="Calibri"/>
          <w:color w:val="14387F"/>
          <w:sz w:val="22"/>
          <w:szCs w:val="20"/>
          <w:lang w:eastAsia="cs-CZ"/>
        </w:rPr>
        <w:t xml:space="preserve"> o</w:t>
      </w:r>
      <w:r w:rsidRPr="007215C9">
        <w:rPr>
          <w:rFonts w:eastAsia="Calibri"/>
          <w:color w:val="14387F"/>
          <w:sz w:val="22"/>
          <w:szCs w:val="20"/>
          <w:lang w:eastAsia="cs-CZ"/>
        </w:rPr>
        <w:t xml:space="preserve"> obnovu vozového parku. Nezanedbatelný lokální vliv na snížení koncentrací suspendovaných částic PM</w:t>
      </w:r>
      <w:r w:rsidRPr="007215C9">
        <w:rPr>
          <w:rFonts w:eastAsia="Calibri"/>
          <w:color w:val="14387F"/>
          <w:sz w:val="22"/>
          <w:szCs w:val="20"/>
          <w:vertAlign w:val="subscript"/>
          <w:lang w:eastAsia="cs-CZ"/>
        </w:rPr>
        <w:t>10</w:t>
      </w:r>
      <w:r w:rsidRPr="007215C9">
        <w:rPr>
          <w:rFonts w:eastAsia="Calibri"/>
          <w:color w:val="14387F"/>
          <w:sz w:val="22"/>
          <w:szCs w:val="20"/>
          <w:lang w:eastAsia="cs-CZ"/>
        </w:rPr>
        <w:t xml:space="preserve"> a PM</w:t>
      </w:r>
      <w:r w:rsidRPr="007215C9">
        <w:rPr>
          <w:rFonts w:eastAsia="Calibri"/>
          <w:color w:val="14387F"/>
          <w:sz w:val="22"/>
          <w:szCs w:val="20"/>
          <w:vertAlign w:val="subscript"/>
          <w:lang w:eastAsia="cs-CZ"/>
        </w:rPr>
        <w:t>2,5</w:t>
      </w:r>
      <w:r w:rsidRPr="007215C9">
        <w:rPr>
          <w:rFonts w:eastAsia="Calibri"/>
          <w:color w:val="14387F"/>
          <w:sz w:val="22"/>
          <w:szCs w:val="20"/>
          <w:lang w:eastAsia="cs-CZ"/>
        </w:rPr>
        <w:t xml:space="preserve"> i dalších látek v části Ostravska mělo odstavení významné části průmyslových zdrojů v areálu společnosti </w:t>
      </w:r>
      <w:proofErr w:type="spellStart"/>
      <w:r w:rsidRPr="007215C9">
        <w:rPr>
          <w:rFonts w:eastAsia="Calibri"/>
          <w:color w:val="14387F"/>
          <w:sz w:val="22"/>
          <w:szCs w:val="20"/>
          <w:lang w:eastAsia="cs-CZ"/>
        </w:rPr>
        <w:t>Liberty</w:t>
      </w:r>
      <w:proofErr w:type="spellEnd"/>
      <w:r w:rsidRPr="007215C9">
        <w:rPr>
          <w:rFonts w:eastAsia="Calibri"/>
          <w:color w:val="14387F"/>
          <w:sz w:val="22"/>
          <w:szCs w:val="20"/>
          <w:lang w:eastAsia="cs-CZ"/>
        </w:rPr>
        <w:t xml:space="preserve"> Ostrava, a. s.</w:t>
      </w:r>
    </w:p>
    <w:p w14:paraId="0A10A90A" w14:textId="77777777" w:rsidR="00986931" w:rsidRPr="00986931" w:rsidRDefault="00986931" w:rsidP="00986931">
      <w:pPr>
        <w:spacing w:before="120" w:after="120" w:line="264" w:lineRule="auto"/>
        <w:jc w:val="both"/>
        <w:rPr>
          <w:rFonts w:eastAsia="Calibri"/>
          <w:color w:val="14387F"/>
          <w:sz w:val="22"/>
          <w:szCs w:val="20"/>
        </w:rPr>
      </w:pPr>
      <w:r w:rsidRPr="00986931">
        <w:rPr>
          <w:rFonts w:eastAsia="Calibri"/>
          <w:color w:val="14387F"/>
          <w:sz w:val="22"/>
          <w:szCs w:val="20"/>
        </w:rPr>
        <w:t xml:space="preserve">Zastavení provozu hutní prvovýroby v podniku společnosti </w:t>
      </w:r>
      <w:proofErr w:type="spellStart"/>
      <w:r w:rsidRPr="00986931">
        <w:rPr>
          <w:rFonts w:eastAsia="Calibri"/>
          <w:color w:val="14387F"/>
          <w:sz w:val="22"/>
          <w:szCs w:val="20"/>
        </w:rPr>
        <w:t>Liberty</w:t>
      </w:r>
      <w:proofErr w:type="spellEnd"/>
      <w:r w:rsidRPr="00986931">
        <w:rPr>
          <w:rFonts w:eastAsia="Calibri"/>
          <w:color w:val="14387F"/>
          <w:sz w:val="22"/>
          <w:szCs w:val="20"/>
        </w:rPr>
        <w:t xml:space="preserve"> Ostrava, a. s. způsobilo významný pokles průmyslových emisí tuhých znečišťujících látek do ovzduší. Jednalo se především o důsledek zastavení provozu koksovny v září 2023 a aglomerace a ocelárny v prosinci 2023. Změny ve společnosti </w:t>
      </w:r>
      <w:proofErr w:type="spellStart"/>
      <w:r w:rsidRPr="00986931">
        <w:rPr>
          <w:rFonts w:eastAsia="Calibri"/>
          <w:color w:val="14387F"/>
          <w:sz w:val="22"/>
          <w:szCs w:val="20"/>
        </w:rPr>
        <w:t>Liberty</w:t>
      </w:r>
      <w:proofErr w:type="spellEnd"/>
      <w:r w:rsidRPr="00986931">
        <w:rPr>
          <w:rFonts w:eastAsia="Calibri"/>
          <w:color w:val="14387F"/>
          <w:sz w:val="22"/>
          <w:szCs w:val="20"/>
        </w:rPr>
        <w:t xml:space="preserve"> Ostrava, a. s. měly na kvalitu ovzduší prokazatelně významný vliv. Zatímco v minulosti byla úroveň znečištění suspendovanými částicemi v městském obvodu Radvanice a </w:t>
      </w:r>
      <w:proofErr w:type="spellStart"/>
      <w:r w:rsidRPr="00986931">
        <w:rPr>
          <w:rFonts w:eastAsia="Calibri"/>
          <w:color w:val="14387F"/>
          <w:sz w:val="22"/>
          <w:szCs w:val="20"/>
        </w:rPr>
        <w:t>Bartovice</w:t>
      </w:r>
      <w:proofErr w:type="spellEnd"/>
      <w:r w:rsidRPr="00986931">
        <w:rPr>
          <w:rFonts w:eastAsia="Calibri"/>
          <w:color w:val="14387F"/>
          <w:sz w:val="22"/>
          <w:szCs w:val="20"/>
        </w:rPr>
        <w:t xml:space="preserve"> dlouhodobě nejvyšší v rámci Ostravy a patřila k nejvyšším v celé České republice, po zastavení provozu hutní prvovýroby zde byly naměřeny stejné nebo dokonce nižší koncentrace PM</w:t>
      </w:r>
      <w:r w:rsidRPr="00986931">
        <w:rPr>
          <w:rFonts w:eastAsia="Calibri"/>
          <w:color w:val="14387F"/>
          <w:sz w:val="22"/>
          <w:szCs w:val="20"/>
          <w:vertAlign w:val="subscript"/>
        </w:rPr>
        <w:t>10</w:t>
      </w:r>
      <w:r w:rsidRPr="00986931">
        <w:rPr>
          <w:rFonts w:eastAsia="Calibri"/>
          <w:color w:val="14387F"/>
          <w:sz w:val="22"/>
          <w:szCs w:val="20"/>
        </w:rPr>
        <w:t xml:space="preserve"> než na většině území města.</w:t>
      </w:r>
    </w:p>
    <w:p w14:paraId="3AC273E2" w14:textId="77777777" w:rsidR="00986931" w:rsidRPr="007215C9" w:rsidRDefault="00986931" w:rsidP="007215C9">
      <w:pPr>
        <w:spacing w:before="120" w:after="120" w:line="264" w:lineRule="auto"/>
        <w:jc w:val="both"/>
        <w:rPr>
          <w:rFonts w:eastAsia="Calibri"/>
          <w:color w:val="14387F"/>
          <w:sz w:val="22"/>
          <w:szCs w:val="20"/>
          <w:lang w:eastAsia="cs-CZ"/>
        </w:rPr>
      </w:pPr>
    </w:p>
    <w:p w14:paraId="1D5CBCDB" w14:textId="29D9D21A" w:rsidR="007215C9" w:rsidRPr="007215C9" w:rsidRDefault="007215C9" w:rsidP="007215C9">
      <w:pPr>
        <w:spacing w:after="0" w:line="264" w:lineRule="auto"/>
        <w:jc w:val="both"/>
        <w:rPr>
          <w:rFonts w:eastAsia="Calibri"/>
          <w:color w:val="14387F"/>
          <w:sz w:val="18"/>
          <w:szCs w:val="20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0D37B351" wp14:editId="6C04C6FF">
            <wp:simplePos x="0" y="0"/>
            <wp:positionH relativeFrom="column">
              <wp:posOffset>-635</wp:posOffset>
            </wp:positionH>
            <wp:positionV relativeFrom="paragraph">
              <wp:posOffset>38735</wp:posOffset>
            </wp:positionV>
            <wp:extent cx="5804535" cy="2591961"/>
            <wp:effectExtent l="0" t="0" r="5715" b="0"/>
            <wp:wrapTopAndBottom/>
            <wp:docPr id="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e\diskchmu\BOB\!Rocenka\RocniZprava2023\2023\23_RP\00_SOUHRN\23_RZ_01_souhr_trendy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5804535" cy="259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15C9">
        <w:rPr>
          <w:rFonts w:eastAsia="Calibri"/>
          <w:color w:val="14387F"/>
          <w:sz w:val="18"/>
          <w:szCs w:val="20"/>
          <w:lang w:eastAsia="cs-CZ"/>
        </w:rPr>
        <w:t>V grafu je znázorněn vývoj následujících imisních charakteristik (vyjádřeno jako relativní změna průměrné koncentrace pro všechny stanice oproti roku 2014): PM</w:t>
      </w:r>
      <w:r w:rsidRPr="007215C9">
        <w:rPr>
          <w:rFonts w:eastAsia="Calibri"/>
          <w:color w:val="14387F"/>
          <w:sz w:val="18"/>
          <w:szCs w:val="20"/>
          <w:vertAlign w:val="subscript"/>
          <w:lang w:eastAsia="cs-CZ"/>
        </w:rPr>
        <w:t>10</w:t>
      </w:r>
      <w:r w:rsidRPr="007215C9">
        <w:rPr>
          <w:rFonts w:eastAsia="Calibri"/>
          <w:color w:val="14387F"/>
          <w:sz w:val="18"/>
          <w:szCs w:val="20"/>
          <w:lang w:eastAsia="cs-CZ"/>
        </w:rPr>
        <w:t>, PM</w:t>
      </w:r>
      <w:r w:rsidRPr="007215C9">
        <w:rPr>
          <w:rFonts w:eastAsia="Calibri"/>
          <w:color w:val="14387F"/>
          <w:sz w:val="18"/>
          <w:szCs w:val="20"/>
          <w:vertAlign w:val="subscript"/>
          <w:lang w:eastAsia="cs-CZ"/>
        </w:rPr>
        <w:t>2,5</w:t>
      </w:r>
      <w:r w:rsidRPr="007215C9">
        <w:rPr>
          <w:rFonts w:eastAsia="Calibri"/>
          <w:color w:val="14387F"/>
          <w:sz w:val="18"/>
          <w:szCs w:val="20"/>
          <w:lang w:eastAsia="cs-CZ"/>
        </w:rPr>
        <w:t>, NO</w:t>
      </w:r>
      <w:r w:rsidRPr="007215C9">
        <w:rPr>
          <w:rFonts w:eastAsia="Calibri"/>
          <w:color w:val="14387F"/>
          <w:sz w:val="18"/>
          <w:szCs w:val="20"/>
          <w:vertAlign w:val="subscript"/>
          <w:lang w:eastAsia="cs-CZ"/>
        </w:rPr>
        <w:t>2</w:t>
      </w:r>
      <w:r w:rsidRPr="007215C9">
        <w:rPr>
          <w:rFonts w:eastAsia="Calibri"/>
          <w:color w:val="14387F"/>
          <w:sz w:val="18"/>
          <w:szCs w:val="20"/>
          <w:lang w:eastAsia="cs-CZ"/>
        </w:rPr>
        <w:t xml:space="preserve"> – roční průměrná koncentrace; SO</w:t>
      </w:r>
      <w:r w:rsidRPr="007215C9">
        <w:rPr>
          <w:rFonts w:eastAsia="Calibri"/>
          <w:color w:val="14387F"/>
          <w:sz w:val="18"/>
          <w:szCs w:val="20"/>
          <w:vertAlign w:val="subscript"/>
          <w:lang w:eastAsia="cs-CZ"/>
        </w:rPr>
        <w:t>2</w:t>
      </w:r>
      <w:r w:rsidRPr="007215C9">
        <w:rPr>
          <w:rFonts w:eastAsia="Calibri"/>
          <w:color w:val="14387F"/>
          <w:sz w:val="18"/>
          <w:szCs w:val="20"/>
          <w:lang w:eastAsia="cs-CZ"/>
        </w:rPr>
        <w:t xml:space="preserve"> – 4. nejvyšší 24hod. průměrná koncentrace;</w:t>
      </w:r>
      <w:r>
        <w:rPr>
          <w:rFonts w:eastAsia="Calibri"/>
          <w:color w:val="14387F"/>
          <w:sz w:val="18"/>
          <w:szCs w:val="20"/>
          <w:lang w:eastAsia="cs-CZ"/>
        </w:rPr>
        <w:t xml:space="preserve"> </w:t>
      </w:r>
      <w:r w:rsidRPr="007215C9">
        <w:rPr>
          <w:rFonts w:eastAsia="Calibri"/>
          <w:color w:val="14387F"/>
          <w:sz w:val="18"/>
          <w:szCs w:val="20"/>
          <w:lang w:eastAsia="cs-CZ"/>
        </w:rPr>
        <w:t>CO – max. denní 8hod. koncentrace; O</w:t>
      </w:r>
      <w:r w:rsidRPr="007215C9">
        <w:rPr>
          <w:rFonts w:eastAsia="Calibri"/>
          <w:color w:val="14387F"/>
          <w:sz w:val="18"/>
          <w:szCs w:val="20"/>
          <w:vertAlign w:val="subscript"/>
          <w:lang w:eastAsia="cs-CZ"/>
        </w:rPr>
        <w:t>3</w:t>
      </w:r>
      <w:r w:rsidRPr="007215C9">
        <w:rPr>
          <w:rFonts w:eastAsia="Calibri"/>
          <w:color w:val="14387F"/>
          <w:sz w:val="18"/>
          <w:szCs w:val="20"/>
          <w:lang w:eastAsia="cs-CZ"/>
        </w:rPr>
        <w:t xml:space="preserve"> – 26. nejvyšší max. denní 8hod. koncentrace</w:t>
      </w:r>
    </w:p>
    <w:p w14:paraId="09C5E3D8" w14:textId="5D02C658" w:rsidR="007215C9" w:rsidRPr="007215C9" w:rsidRDefault="0036234F" w:rsidP="007215C9">
      <w:pPr>
        <w:spacing w:before="120" w:after="120" w:line="240" w:lineRule="auto"/>
        <w:rPr>
          <w:rFonts w:ascii="Arial" w:eastAsia="Calibri" w:hAnsi="Arial"/>
          <w:i/>
          <w:iCs/>
          <w:color w:val="14387F"/>
          <w:sz w:val="18"/>
          <w:szCs w:val="18"/>
          <w:lang w:eastAsia="cs-CZ"/>
        </w:rPr>
      </w:pPr>
      <w:bookmarkStart w:id="0" w:name="_Toc188277309"/>
      <w:r>
        <w:rPr>
          <w:rFonts w:ascii="Arial" w:eastAsia="Calibri" w:hAnsi="Arial"/>
          <w:i/>
          <w:iCs/>
          <w:color w:val="14387F"/>
          <w:sz w:val="18"/>
          <w:szCs w:val="18"/>
          <w:lang w:eastAsia="cs-CZ"/>
        </w:rPr>
        <w:t xml:space="preserve">Graf: </w:t>
      </w:r>
      <w:r w:rsidR="007215C9" w:rsidRPr="007215C9">
        <w:rPr>
          <w:rFonts w:ascii="Arial" w:eastAsia="Calibri" w:hAnsi="Arial"/>
          <w:i/>
          <w:iCs/>
          <w:color w:val="14387F"/>
          <w:sz w:val="18"/>
          <w:szCs w:val="18"/>
          <w:lang w:eastAsia="cs-CZ"/>
        </w:rPr>
        <w:t>Vývoj imisních charakteristik vybraných znečišťujících látek, 2014–2024</w:t>
      </w:r>
      <w:bookmarkEnd w:id="0"/>
    </w:p>
    <w:p w14:paraId="52803AB6" w14:textId="7E69B41E" w:rsidR="007215C9" w:rsidRDefault="007215C9" w:rsidP="00954AEA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0380467D" w14:textId="77777777" w:rsidR="007215C9" w:rsidRPr="007215C9" w:rsidRDefault="007215C9" w:rsidP="007215C9">
      <w:pPr>
        <w:spacing w:before="120" w:after="120" w:line="264" w:lineRule="auto"/>
        <w:jc w:val="both"/>
        <w:rPr>
          <w:rFonts w:eastAsia="Calibri"/>
          <w:color w:val="14387F"/>
          <w:sz w:val="22"/>
          <w:szCs w:val="20"/>
          <w:lang w:eastAsia="cs-CZ"/>
        </w:rPr>
      </w:pPr>
      <w:r w:rsidRPr="007215C9">
        <w:rPr>
          <w:rFonts w:eastAsia="Calibri"/>
          <w:color w:val="14387F"/>
          <w:sz w:val="22"/>
          <w:szCs w:val="20"/>
          <w:lang w:eastAsia="cs-CZ"/>
        </w:rPr>
        <w:t>Kvalita ovzduší byla v roce 2024 příznivá z hlediska aktuálně hodnocených látek (PM</w:t>
      </w:r>
      <w:r w:rsidRPr="007215C9">
        <w:rPr>
          <w:rFonts w:eastAsia="Calibri"/>
          <w:color w:val="14387F"/>
          <w:sz w:val="22"/>
          <w:szCs w:val="20"/>
          <w:vertAlign w:val="subscript"/>
          <w:lang w:eastAsia="cs-CZ"/>
        </w:rPr>
        <w:t>10</w:t>
      </w:r>
      <w:r w:rsidRPr="007215C9">
        <w:rPr>
          <w:rFonts w:eastAsia="Calibri"/>
          <w:color w:val="14387F"/>
          <w:sz w:val="22"/>
          <w:szCs w:val="20"/>
          <w:lang w:eastAsia="cs-CZ"/>
        </w:rPr>
        <w:t>, PM</w:t>
      </w:r>
      <w:r w:rsidRPr="007215C9">
        <w:rPr>
          <w:rFonts w:eastAsia="Calibri"/>
          <w:color w:val="14387F"/>
          <w:sz w:val="22"/>
          <w:szCs w:val="20"/>
          <w:vertAlign w:val="subscript"/>
          <w:lang w:eastAsia="cs-CZ"/>
        </w:rPr>
        <w:t>2,5</w:t>
      </w:r>
      <w:r w:rsidRPr="007215C9">
        <w:rPr>
          <w:rFonts w:eastAsia="Calibri"/>
          <w:color w:val="14387F"/>
          <w:sz w:val="22"/>
          <w:szCs w:val="20"/>
          <w:lang w:eastAsia="cs-CZ"/>
        </w:rPr>
        <w:t>, NO</w:t>
      </w:r>
      <w:r w:rsidRPr="007215C9">
        <w:rPr>
          <w:rFonts w:eastAsia="Calibri"/>
          <w:color w:val="14387F"/>
          <w:sz w:val="22"/>
          <w:szCs w:val="20"/>
          <w:vertAlign w:val="subscript"/>
          <w:lang w:eastAsia="cs-CZ"/>
        </w:rPr>
        <w:t>2</w:t>
      </w:r>
      <w:r w:rsidRPr="007215C9">
        <w:rPr>
          <w:rFonts w:eastAsia="Calibri"/>
          <w:color w:val="14387F"/>
          <w:sz w:val="22"/>
          <w:szCs w:val="20"/>
          <w:lang w:eastAsia="cs-CZ"/>
        </w:rPr>
        <w:t>, SO</w:t>
      </w:r>
      <w:r w:rsidRPr="007215C9">
        <w:rPr>
          <w:rFonts w:eastAsia="Calibri"/>
          <w:color w:val="14387F"/>
          <w:sz w:val="22"/>
          <w:szCs w:val="20"/>
          <w:vertAlign w:val="subscript"/>
          <w:lang w:eastAsia="cs-CZ"/>
        </w:rPr>
        <w:t>2</w:t>
      </w:r>
      <w:r w:rsidRPr="007215C9">
        <w:rPr>
          <w:rFonts w:eastAsia="Calibri"/>
          <w:color w:val="14387F"/>
          <w:sz w:val="22"/>
          <w:szCs w:val="20"/>
          <w:lang w:eastAsia="cs-CZ"/>
        </w:rPr>
        <w:t>, a CO) vyjma přízemního O</w:t>
      </w:r>
      <w:r w:rsidRPr="007215C9">
        <w:rPr>
          <w:rFonts w:eastAsia="Calibri"/>
          <w:color w:val="14387F"/>
          <w:sz w:val="22"/>
          <w:szCs w:val="20"/>
          <w:vertAlign w:val="subscript"/>
          <w:lang w:eastAsia="cs-CZ"/>
        </w:rPr>
        <w:t>3</w:t>
      </w:r>
      <w:r w:rsidRPr="007215C9">
        <w:rPr>
          <w:rFonts w:eastAsia="Calibri"/>
          <w:color w:val="14387F"/>
          <w:sz w:val="22"/>
          <w:szCs w:val="20"/>
          <w:lang w:eastAsia="cs-CZ"/>
        </w:rPr>
        <w:t>. Je však třeba připomenout, že zatím nebyla vyhodnocena data všech znečišťujících látek. V dubnu bude zveřejněna II. část této předběžné zprávy, v rámci které budou hodnoceny celorepublikové koncentrace látek, které jsou zjišťovány manuálními metodami. Jedná se především o </w:t>
      </w:r>
      <w:proofErr w:type="spellStart"/>
      <w:r w:rsidRPr="007215C9">
        <w:rPr>
          <w:rFonts w:eastAsia="Calibri"/>
          <w:color w:val="14387F"/>
          <w:sz w:val="22"/>
          <w:szCs w:val="20"/>
          <w:lang w:eastAsia="cs-CZ"/>
        </w:rPr>
        <w:t>benzo</w:t>
      </w:r>
      <w:proofErr w:type="spellEnd"/>
      <w:r w:rsidRPr="007215C9">
        <w:rPr>
          <w:rFonts w:eastAsia="Calibri"/>
          <w:color w:val="14387F"/>
          <w:sz w:val="22"/>
          <w:szCs w:val="20"/>
          <w:lang w:eastAsia="cs-CZ"/>
        </w:rPr>
        <w:t>[</w:t>
      </w:r>
      <w:r w:rsidRPr="007215C9">
        <w:rPr>
          <w:rFonts w:eastAsia="Calibri"/>
          <w:i/>
          <w:color w:val="14387F"/>
          <w:sz w:val="22"/>
          <w:szCs w:val="20"/>
          <w:lang w:eastAsia="cs-CZ"/>
        </w:rPr>
        <w:t>a</w:t>
      </w:r>
      <w:r w:rsidRPr="007215C9">
        <w:rPr>
          <w:rFonts w:eastAsia="Calibri"/>
          <w:color w:val="14387F"/>
          <w:sz w:val="22"/>
          <w:szCs w:val="20"/>
          <w:lang w:eastAsia="cs-CZ"/>
        </w:rPr>
        <w:t>]pyren, u kterého lze, stejně jako v minulých letech, předpokládat překročení ročního imisního limitu na řadě lokalit.</w:t>
      </w:r>
    </w:p>
    <w:p w14:paraId="6B1CE62D" w14:textId="253FF785" w:rsidR="007215C9" w:rsidRPr="007215C9" w:rsidRDefault="007215C9" w:rsidP="007215C9">
      <w:pPr>
        <w:spacing w:before="120" w:after="120" w:line="264" w:lineRule="auto"/>
        <w:jc w:val="both"/>
        <w:rPr>
          <w:rFonts w:eastAsia="Calibri"/>
          <w:color w:val="14387F"/>
          <w:sz w:val="22"/>
          <w:szCs w:val="20"/>
          <w:lang w:eastAsia="cs-CZ"/>
        </w:rPr>
      </w:pPr>
      <w:r w:rsidRPr="007215C9">
        <w:rPr>
          <w:rFonts w:eastAsia="Calibri"/>
          <w:color w:val="14387F"/>
          <w:sz w:val="22"/>
          <w:szCs w:val="20"/>
          <w:lang w:eastAsia="cs-CZ"/>
        </w:rPr>
        <w:t>Zároveň je také důležité zdůraznit, že v roce 2024 byla přijata revidovaná směrnice Evropského parlamentu a Rady (EU) 2024/2881 o kvalitě vnějšího ovzduší a čistším ovzduší pro Evropu. Cílem této revize je od roku 2030 progresivně zpřísňovat imisní limity v souladu s vědeckými poznatky a nejnovějšími doporučeními Světové zdravotnické organizace</w:t>
      </w:r>
      <w:r w:rsidR="00986931" w:rsidRPr="00986931">
        <w:rPr>
          <w:rFonts w:eastAsia="Calibri"/>
          <w:color w:val="14387F"/>
          <w:sz w:val="22"/>
          <w:szCs w:val="20"/>
          <w:lang w:eastAsia="cs-CZ"/>
        </w:rPr>
        <w:t>.</w:t>
      </w:r>
    </w:p>
    <w:p w14:paraId="6B6CD52F" w14:textId="77777777" w:rsidR="00986931" w:rsidRPr="00986931" w:rsidRDefault="00986931" w:rsidP="00986931">
      <w:pPr>
        <w:spacing w:before="120" w:after="120" w:line="264" w:lineRule="auto"/>
        <w:jc w:val="both"/>
        <w:rPr>
          <w:rFonts w:eastAsia="Arial"/>
          <w:color w:val="14387F"/>
          <w:sz w:val="22"/>
          <w:szCs w:val="22"/>
        </w:rPr>
      </w:pPr>
      <w:r w:rsidRPr="00986931">
        <w:rPr>
          <w:rFonts w:eastAsia="Arial"/>
          <w:color w:val="14387F"/>
          <w:sz w:val="22"/>
          <w:szCs w:val="22"/>
        </w:rPr>
        <w:t>V roce 2024 bylo vyhlášeno 18 smogových situací a jedna regulace kvůli vysokým koncentracím PM</w:t>
      </w:r>
      <w:r w:rsidRPr="00986931">
        <w:rPr>
          <w:rFonts w:eastAsia="Arial"/>
          <w:color w:val="14387F"/>
          <w:sz w:val="22"/>
          <w:szCs w:val="22"/>
          <w:vertAlign w:val="subscript"/>
        </w:rPr>
        <w:t>10</w:t>
      </w:r>
      <w:r w:rsidRPr="00986931">
        <w:rPr>
          <w:rFonts w:eastAsia="Arial"/>
          <w:color w:val="14387F"/>
          <w:sz w:val="22"/>
          <w:szCs w:val="22"/>
        </w:rPr>
        <w:t xml:space="preserve"> v celkové délce 821 h (34,2 dní) a tři smogové situace kvůli vysokým koncentracím přízemního O</w:t>
      </w:r>
      <w:r w:rsidRPr="00986931">
        <w:rPr>
          <w:rFonts w:eastAsia="Arial"/>
          <w:color w:val="14387F"/>
          <w:sz w:val="22"/>
          <w:szCs w:val="22"/>
          <w:vertAlign w:val="subscript"/>
        </w:rPr>
        <w:t>3</w:t>
      </w:r>
      <w:r w:rsidRPr="00986931">
        <w:rPr>
          <w:rFonts w:eastAsia="Arial"/>
          <w:color w:val="14387F"/>
          <w:sz w:val="22"/>
          <w:szCs w:val="22"/>
        </w:rPr>
        <w:t xml:space="preserve"> v celkové délce 15 h (0,6 dní). Smogová situace na přelomu března a dubna byla vyhlášena z důvodu výrazného navýšení koncentrací PM</w:t>
      </w:r>
      <w:r w:rsidRPr="00986931">
        <w:rPr>
          <w:rFonts w:eastAsia="Arial"/>
          <w:color w:val="14387F"/>
          <w:sz w:val="22"/>
          <w:szCs w:val="22"/>
          <w:vertAlign w:val="subscript"/>
        </w:rPr>
        <w:t>10</w:t>
      </w:r>
      <w:r w:rsidRPr="00986931">
        <w:rPr>
          <w:rFonts w:eastAsia="Arial"/>
          <w:color w:val="14387F"/>
          <w:sz w:val="22"/>
          <w:szCs w:val="22"/>
        </w:rPr>
        <w:t xml:space="preserve"> při přechodu saharského písečného prachu přes ČR.</w:t>
      </w:r>
    </w:p>
    <w:p w14:paraId="463740B3" w14:textId="4F9AA3C8" w:rsidR="00986931" w:rsidRPr="00986931" w:rsidRDefault="00986931" w:rsidP="00986931">
      <w:pPr>
        <w:spacing w:before="120" w:after="120" w:line="264" w:lineRule="auto"/>
        <w:jc w:val="both"/>
        <w:rPr>
          <w:rFonts w:eastAsia="Calibri"/>
          <w:color w:val="14387F"/>
          <w:sz w:val="22"/>
          <w:szCs w:val="20"/>
        </w:rPr>
      </w:pPr>
      <w:r w:rsidRPr="00986931">
        <w:rPr>
          <w:rFonts w:eastAsia="Calibri"/>
          <w:color w:val="14387F"/>
          <w:sz w:val="22"/>
          <w:szCs w:val="20"/>
        </w:rPr>
        <w:t>Epizoda přechodu saharského písečného prachu přes území České republiky na přelomu března a dubna 2024 přinesla nejvýraznější zhoršení kvality ovzduší v důsledku tohoto jevu v novodobé historii měření kvality ovzduší na našem území. Hodnoty koncentrací částic PM byly plošně velmi výrazně zvýšené prakticky ve všech krajích a té</w:t>
      </w:r>
      <w:r w:rsidR="00932AE4">
        <w:rPr>
          <w:rFonts w:eastAsia="Calibri"/>
          <w:color w:val="14387F"/>
          <w:sz w:val="22"/>
          <w:szCs w:val="20"/>
        </w:rPr>
        <w:t>měř na celém území vyústily až ve</w:t>
      </w:r>
      <w:r w:rsidRPr="00986931">
        <w:rPr>
          <w:rFonts w:eastAsia="Calibri"/>
          <w:color w:val="14387F"/>
          <w:sz w:val="22"/>
          <w:szCs w:val="20"/>
        </w:rPr>
        <w:t xml:space="preserve"> vyhlášení smogové situace z důvodu překročení prahové hodnoty na více než polovině reprezentativních stanic v jednotlivých krajích. </w:t>
      </w:r>
    </w:p>
    <w:p w14:paraId="2B606290" w14:textId="77777777" w:rsidR="00986931" w:rsidRDefault="00986931" w:rsidP="00954AEA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5A5CCC92" w14:textId="27D18176" w:rsidR="00FE46E9" w:rsidRPr="00FE46E9" w:rsidRDefault="00954AEA" w:rsidP="00954AEA">
      <w:pPr>
        <w:spacing w:line="276" w:lineRule="auto"/>
        <w:ind w:right="142"/>
        <w:jc w:val="both"/>
        <w:rPr>
          <w:b/>
          <w:color w:val="14387F"/>
          <w:sz w:val="32"/>
          <w:szCs w:val="22"/>
        </w:rPr>
      </w:pPr>
      <w:r>
        <w:rPr>
          <w:color w:val="14387F"/>
          <w:sz w:val="22"/>
          <w:szCs w:val="22"/>
        </w:rPr>
        <w:t xml:space="preserve">PDF </w:t>
      </w:r>
      <w:r w:rsidR="00DD09FD">
        <w:rPr>
          <w:color w:val="14387F"/>
          <w:sz w:val="22"/>
          <w:szCs w:val="22"/>
        </w:rPr>
        <w:t xml:space="preserve">plné </w:t>
      </w:r>
      <w:r>
        <w:rPr>
          <w:color w:val="14387F"/>
          <w:sz w:val="22"/>
          <w:szCs w:val="22"/>
        </w:rPr>
        <w:t>verze předběžné zprávy zde:</w:t>
      </w:r>
    </w:p>
    <w:p w14:paraId="513B5088" w14:textId="7A81A667" w:rsidR="00954AEA" w:rsidRPr="00FE46E9" w:rsidRDefault="00BC3E86" w:rsidP="00954AEA">
      <w:pPr>
        <w:spacing w:line="276" w:lineRule="auto"/>
        <w:ind w:right="142"/>
        <w:jc w:val="both"/>
        <w:rPr>
          <w:b/>
          <w:sz w:val="22"/>
        </w:rPr>
      </w:pPr>
      <w:hyperlink r:id="rId9" w:history="1">
        <w:r w:rsidR="007215C9">
          <w:rPr>
            <w:rStyle w:val="Hypertextovodkaz"/>
            <w:b/>
            <w:sz w:val="22"/>
          </w:rPr>
          <w:t>https://www.chmi.cz/files/</w:t>
        </w:r>
        <w:r w:rsidR="007215C9">
          <w:rPr>
            <w:rStyle w:val="Hypertextovodkaz"/>
            <w:b/>
            <w:sz w:val="22"/>
          </w:rPr>
          <w:t>p</w:t>
        </w:r>
        <w:r w:rsidR="007215C9">
          <w:rPr>
            <w:rStyle w:val="Hypertextovodkaz"/>
            <w:b/>
            <w:sz w:val="22"/>
          </w:rPr>
          <w:t>ortal/docs/uoco/mes_zpravy/Rocni_zprava_2024.pdf</w:t>
        </w:r>
      </w:hyperlink>
    </w:p>
    <w:p w14:paraId="6CC714DC" w14:textId="77777777" w:rsidR="00CD2165" w:rsidRPr="00A3102D" w:rsidRDefault="00CD2165" w:rsidP="00CD2165">
      <w:pPr>
        <w:spacing w:line="276" w:lineRule="auto"/>
        <w:ind w:right="142"/>
        <w:jc w:val="both"/>
        <w:rPr>
          <w:color w:val="14387F"/>
          <w:sz w:val="22"/>
          <w:szCs w:val="22"/>
        </w:rPr>
        <w:sectPr w:rsidR="00CD2165" w:rsidRPr="00A3102D" w:rsidSect="0048761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1841" w:bottom="709" w:left="851" w:header="1020" w:footer="1012" w:gutter="0"/>
          <w:cols w:space="708"/>
          <w:titlePg/>
          <w:docGrid w:linePitch="360"/>
        </w:sectPr>
      </w:pPr>
    </w:p>
    <w:p w14:paraId="2C782C04" w14:textId="77777777" w:rsidR="00394105" w:rsidRPr="00CC300E" w:rsidRDefault="00394105" w:rsidP="00390BAC">
      <w:pPr>
        <w:pStyle w:val="Nadpiskontakt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193D651B" w14:textId="77777777" w:rsidR="00394105" w:rsidRPr="00A6040E" w:rsidRDefault="00470CCA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A6040E">
        <w:rPr>
          <w:rFonts w:ascii="Times New Roman" w:hAnsi="Times New Roman" w:cs="Times New Roman"/>
          <w:color w:val="14387F"/>
          <w:sz w:val="22"/>
          <w:szCs w:val="22"/>
        </w:rPr>
        <w:t>Kontakt:</w:t>
      </w:r>
    </w:p>
    <w:p w14:paraId="635C7381" w14:textId="77777777" w:rsidR="00D35E7B" w:rsidRPr="00A6040E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A6040E">
        <w:rPr>
          <w:color w:val="14387F"/>
          <w:szCs w:val="22"/>
        </w:rPr>
        <w:t xml:space="preserve">Tiskové a informační oddělení </w:t>
      </w:r>
      <w:r w:rsidRPr="00A6040E">
        <w:rPr>
          <w:b w:val="0"/>
          <w:color w:val="14387F"/>
          <w:szCs w:val="22"/>
        </w:rPr>
        <w:t>(info@chmi.cz)</w:t>
      </w:r>
    </w:p>
    <w:p w14:paraId="129D862A" w14:textId="77777777" w:rsidR="00D35E7B" w:rsidRPr="00A6040E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bookmarkStart w:id="1" w:name="_GoBack"/>
      <w:bookmarkEnd w:id="1"/>
    </w:p>
    <w:p w14:paraId="4030C190" w14:textId="77777777" w:rsidR="00D35E7B" w:rsidRPr="00A6040E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A6040E">
        <w:rPr>
          <w:color w:val="14387F"/>
          <w:szCs w:val="22"/>
        </w:rPr>
        <w:t xml:space="preserve">Jan Doležal </w:t>
      </w:r>
    </w:p>
    <w:p w14:paraId="297E9605" w14:textId="77777777" w:rsidR="00D35E7B" w:rsidRPr="00A6040E" w:rsidRDefault="00D35E7B" w:rsidP="00D35E7B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  <w:r w:rsidRPr="00A6040E">
        <w:rPr>
          <w:b w:val="0"/>
          <w:color w:val="14387F"/>
          <w:szCs w:val="22"/>
        </w:rPr>
        <w:t>e-mail:</w:t>
      </w:r>
      <w:r w:rsidRPr="004D5B22">
        <w:rPr>
          <w:b w:val="0"/>
          <w:color w:val="14387F"/>
          <w:szCs w:val="22"/>
        </w:rPr>
        <w:t xml:space="preserve"> </w:t>
      </w:r>
      <w:hyperlink r:id="rId14" w:history="1">
        <w:r w:rsidRPr="004D5B22">
          <w:rPr>
            <w:rStyle w:val="Hypertextovodkaz"/>
            <w:b w:val="0"/>
            <w:color w:val="14387F"/>
            <w:szCs w:val="22"/>
            <w:u w:val="none"/>
          </w:rPr>
          <w:t>jan.dolezal2@chmi.cz</w:t>
        </w:r>
      </w:hyperlink>
    </w:p>
    <w:p w14:paraId="784DF616" w14:textId="77777777" w:rsidR="00D35E7B" w:rsidRPr="00A6040E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A6040E">
        <w:rPr>
          <w:b w:val="0"/>
          <w:color w:val="14387F"/>
          <w:szCs w:val="22"/>
        </w:rPr>
        <w:t>tel.: 724 342 542</w:t>
      </w:r>
    </w:p>
    <w:p w14:paraId="61E693A4" w14:textId="77777777" w:rsidR="00D35E7B" w:rsidRPr="00A6040E" w:rsidRDefault="00D35E7B" w:rsidP="00D35E7B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14:paraId="65BAD8E9" w14:textId="77777777" w:rsidR="00D35E7B" w:rsidRPr="00A6040E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A6040E">
        <w:rPr>
          <w:color w:val="14387F"/>
          <w:szCs w:val="22"/>
        </w:rPr>
        <w:t xml:space="preserve">Aneta Beránková </w:t>
      </w:r>
    </w:p>
    <w:p w14:paraId="4C2056C8" w14:textId="77777777" w:rsidR="00D35E7B" w:rsidRPr="00A6040E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A6040E">
        <w:rPr>
          <w:b w:val="0"/>
          <w:color w:val="14387F"/>
          <w:szCs w:val="22"/>
        </w:rPr>
        <w:t xml:space="preserve">e-mail: </w:t>
      </w:r>
      <w:r w:rsidRPr="00A6040E">
        <w:rPr>
          <w:b w:val="0"/>
          <w:color w:val="14387F"/>
        </w:rPr>
        <w:t>aneta.berankova@chmi.cz</w:t>
      </w:r>
    </w:p>
    <w:p w14:paraId="0FAE2554" w14:textId="77777777" w:rsidR="00D35E7B" w:rsidRPr="00A6040E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A6040E">
        <w:rPr>
          <w:b w:val="0"/>
          <w:color w:val="14387F"/>
          <w:szCs w:val="22"/>
        </w:rPr>
        <w:t>tel.: 735 794 383</w:t>
      </w:r>
    </w:p>
    <w:p w14:paraId="26DAC5DC" w14:textId="77777777" w:rsidR="00CC300E" w:rsidRPr="00A6040E" w:rsidRDefault="00CC300E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</w:p>
    <w:p w14:paraId="31E54132" w14:textId="77777777" w:rsidR="00CC300E" w:rsidRPr="00A6040E" w:rsidRDefault="00D35E7B" w:rsidP="00CC300E">
      <w:pPr>
        <w:pStyle w:val="kontaktjmno"/>
        <w:spacing w:before="0" w:line="240" w:lineRule="auto"/>
        <w:rPr>
          <w:color w:val="14387F"/>
          <w:szCs w:val="22"/>
        </w:rPr>
      </w:pPr>
      <w:r w:rsidRPr="00A6040E">
        <w:rPr>
          <w:color w:val="14387F"/>
          <w:szCs w:val="22"/>
        </w:rPr>
        <w:t>Odborný garant</w:t>
      </w:r>
      <w:r w:rsidR="00CC300E" w:rsidRPr="00A6040E">
        <w:rPr>
          <w:color w:val="14387F"/>
          <w:szCs w:val="22"/>
        </w:rPr>
        <w:t xml:space="preserve">: </w:t>
      </w:r>
    </w:p>
    <w:p w14:paraId="4302DE73" w14:textId="77777777" w:rsidR="00CC300E" w:rsidRPr="00A6040E" w:rsidRDefault="00A3102D" w:rsidP="00CC300E">
      <w:pPr>
        <w:pStyle w:val="kontaktjmno"/>
        <w:spacing w:before="0" w:line="240" w:lineRule="auto"/>
        <w:rPr>
          <w:color w:val="14387F"/>
          <w:szCs w:val="22"/>
        </w:rPr>
      </w:pPr>
      <w:r w:rsidRPr="00A6040E">
        <w:rPr>
          <w:color w:val="14387F"/>
          <w:szCs w:val="22"/>
        </w:rPr>
        <w:t>Václav Novák</w:t>
      </w:r>
    </w:p>
    <w:p w14:paraId="601CBFF6" w14:textId="6697DCB8" w:rsidR="00A3102D" w:rsidRPr="00A6040E" w:rsidRDefault="00A3102D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A6040E">
        <w:rPr>
          <w:b w:val="0"/>
          <w:color w:val="14387F"/>
          <w:szCs w:val="22"/>
        </w:rPr>
        <w:t xml:space="preserve">Oddělení </w:t>
      </w:r>
      <w:r w:rsidR="000020F3" w:rsidRPr="00A6040E">
        <w:rPr>
          <w:b w:val="0"/>
          <w:color w:val="14387F"/>
          <w:szCs w:val="22"/>
        </w:rPr>
        <w:t>I</w:t>
      </w:r>
      <w:r w:rsidRPr="00A6040E">
        <w:rPr>
          <w:b w:val="0"/>
          <w:color w:val="14387F"/>
          <w:szCs w:val="22"/>
        </w:rPr>
        <w:t>nformačního systému kvality ovzduší</w:t>
      </w:r>
    </w:p>
    <w:p w14:paraId="49FD2692" w14:textId="25B05F03" w:rsidR="00CC300E" w:rsidRPr="00A6040E" w:rsidRDefault="00D240C3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>
        <w:rPr>
          <w:b w:val="0"/>
          <w:color w:val="14387F"/>
          <w:szCs w:val="22"/>
        </w:rPr>
        <w:t>e-mail:</w:t>
      </w:r>
      <w:r w:rsidR="003C4E77" w:rsidRPr="00A6040E">
        <w:rPr>
          <w:b w:val="0"/>
          <w:color w:val="14387F"/>
          <w:szCs w:val="22"/>
        </w:rPr>
        <w:tab/>
      </w:r>
      <w:hyperlink r:id="rId15" w:history="1">
        <w:r w:rsidR="000020F3" w:rsidRPr="00A6040E">
          <w:rPr>
            <w:rStyle w:val="Hypertextovodkaz"/>
            <w:b w:val="0"/>
            <w:color w:val="14387F"/>
            <w:szCs w:val="22"/>
            <w:u w:val="none"/>
          </w:rPr>
          <w:t>vaclav.novak@chmi.cz</w:t>
        </w:r>
      </w:hyperlink>
      <w:r w:rsidR="000020F3" w:rsidRPr="00A6040E">
        <w:rPr>
          <w:b w:val="0"/>
          <w:color w:val="14387F"/>
          <w:szCs w:val="22"/>
        </w:rPr>
        <w:t>, tel.: 244032402</w:t>
      </w:r>
    </w:p>
    <w:sectPr w:rsidR="00CC300E" w:rsidRPr="00A6040E" w:rsidSect="00F979BB"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1F9D9" w14:textId="77777777" w:rsidR="00BC3E86" w:rsidRDefault="00BC3E86" w:rsidP="0020378E">
      <w:r>
        <w:separator/>
      </w:r>
    </w:p>
  </w:endnote>
  <w:endnote w:type="continuationSeparator" w:id="0">
    <w:p w14:paraId="21F237DC" w14:textId="77777777" w:rsidR="00BC3E86" w:rsidRDefault="00BC3E86" w:rsidP="0020378E">
      <w:r>
        <w:continuationSeparator/>
      </w:r>
    </w:p>
  </w:endnote>
  <w:endnote w:type="continuationNotice" w:id="1">
    <w:p w14:paraId="47C5E73B" w14:textId="77777777" w:rsidR="00BC3E86" w:rsidRDefault="00BC3E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etaserifpro-book"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ADA19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97DEB15" wp14:editId="4EB05B9F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B5B35" w14:textId="6F74378F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4D5B22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DEB15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20DB5B35" w14:textId="6F74378F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4D5B22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17103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900EC3E" wp14:editId="2373BEA6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97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F626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337ED" w14:textId="77777777" w:rsidR="00BC3E86" w:rsidRDefault="00BC3E86" w:rsidP="0020378E">
      <w:r>
        <w:separator/>
      </w:r>
    </w:p>
  </w:footnote>
  <w:footnote w:type="continuationSeparator" w:id="0">
    <w:p w14:paraId="71C9CD63" w14:textId="77777777" w:rsidR="00BC3E86" w:rsidRDefault="00BC3E86" w:rsidP="0020378E">
      <w:r>
        <w:continuationSeparator/>
      </w:r>
    </w:p>
  </w:footnote>
  <w:footnote w:type="continuationNotice" w:id="1">
    <w:p w14:paraId="58582910" w14:textId="77777777" w:rsidR="00BC3E86" w:rsidRDefault="00BC3E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093F" w14:textId="7F709D39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EA418A">
      <w:t>23</w:t>
    </w:r>
    <w:r w:rsidR="009724EC">
      <w:t>. 1. 202</w:t>
    </w:r>
    <w:r w:rsidR="00EA418A"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67F7" w14:textId="40EE7BEC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EB7B82E" wp14:editId="4921993F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96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EA418A">
      <w:t>23</w:t>
    </w:r>
    <w:r w:rsidR="00842F73">
      <w:t xml:space="preserve">. </w:t>
    </w:r>
    <w:r w:rsidR="009724EC">
      <w:t>1. 202</w:t>
    </w:r>
    <w:r w:rsidR="00EA418A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735A9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A659BA8" wp14:editId="17113C19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B3B4A2D" wp14:editId="7C995192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020F3"/>
    <w:rsid w:val="000131A2"/>
    <w:rsid w:val="0002041B"/>
    <w:rsid w:val="000265D3"/>
    <w:rsid w:val="000570BC"/>
    <w:rsid w:val="00061227"/>
    <w:rsid w:val="000827BD"/>
    <w:rsid w:val="00082F38"/>
    <w:rsid w:val="000B0E71"/>
    <w:rsid w:val="000B2712"/>
    <w:rsid w:val="000B5EB1"/>
    <w:rsid w:val="000C747B"/>
    <w:rsid w:val="000D030E"/>
    <w:rsid w:val="000D0D26"/>
    <w:rsid w:val="000E36E6"/>
    <w:rsid w:val="00104EB3"/>
    <w:rsid w:val="00107C15"/>
    <w:rsid w:val="00110A36"/>
    <w:rsid w:val="00114637"/>
    <w:rsid w:val="00151E7D"/>
    <w:rsid w:val="00160F1D"/>
    <w:rsid w:val="00186A1B"/>
    <w:rsid w:val="001C049B"/>
    <w:rsid w:val="001C2D99"/>
    <w:rsid w:val="0020378E"/>
    <w:rsid w:val="00205D6A"/>
    <w:rsid w:val="0021441D"/>
    <w:rsid w:val="00251212"/>
    <w:rsid w:val="002624C4"/>
    <w:rsid w:val="00275A2D"/>
    <w:rsid w:val="00276E53"/>
    <w:rsid w:val="00286BB8"/>
    <w:rsid w:val="00290D74"/>
    <w:rsid w:val="002A3B07"/>
    <w:rsid w:val="002B280E"/>
    <w:rsid w:val="002C0EDA"/>
    <w:rsid w:val="002D10D8"/>
    <w:rsid w:val="002D7DF4"/>
    <w:rsid w:val="002E0088"/>
    <w:rsid w:val="002E44DF"/>
    <w:rsid w:val="002E4ADB"/>
    <w:rsid w:val="002F28ED"/>
    <w:rsid w:val="002F2AAD"/>
    <w:rsid w:val="002F3797"/>
    <w:rsid w:val="00300CD3"/>
    <w:rsid w:val="003355FF"/>
    <w:rsid w:val="003505CE"/>
    <w:rsid w:val="0036234F"/>
    <w:rsid w:val="00364724"/>
    <w:rsid w:val="0037100C"/>
    <w:rsid w:val="00390BAC"/>
    <w:rsid w:val="00394105"/>
    <w:rsid w:val="003A47CC"/>
    <w:rsid w:val="003B5483"/>
    <w:rsid w:val="003C4E77"/>
    <w:rsid w:val="003C6833"/>
    <w:rsid w:val="003E4705"/>
    <w:rsid w:val="003E5749"/>
    <w:rsid w:val="003E64DE"/>
    <w:rsid w:val="00417BAA"/>
    <w:rsid w:val="00436056"/>
    <w:rsid w:val="0044154F"/>
    <w:rsid w:val="00444447"/>
    <w:rsid w:val="004456B9"/>
    <w:rsid w:val="004468C2"/>
    <w:rsid w:val="00446AD5"/>
    <w:rsid w:val="004542A3"/>
    <w:rsid w:val="00456C06"/>
    <w:rsid w:val="00457F79"/>
    <w:rsid w:val="00470CCA"/>
    <w:rsid w:val="00470DC3"/>
    <w:rsid w:val="004745CF"/>
    <w:rsid w:val="0048761A"/>
    <w:rsid w:val="00490102"/>
    <w:rsid w:val="004A2CA8"/>
    <w:rsid w:val="004D039B"/>
    <w:rsid w:val="004D29AA"/>
    <w:rsid w:val="004D5B22"/>
    <w:rsid w:val="004E7C47"/>
    <w:rsid w:val="005244EB"/>
    <w:rsid w:val="00552FA8"/>
    <w:rsid w:val="005609C7"/>
    <w:rsid w:val="00561446"/>
    <w:rsid w:val="005B465D"/>
    <w:rsid w:val="005B474C"/>
    <w:rsid w:val="005C5823"/>
    <w:rsid w:val="005F5C68"/>
    <w:rsid w:val="00601D2B"/>
    <w:rsid w:val="006024AB"/>
    <w:rsid w:val="006724CC"/>
    <w:rsid w:val="00683356"/>
    <w:rsid w:val="00684838"/>
    <w:rsid w:val="006906F7"/>
    <w:rsid w:val="006B6A0D"/>
    <w:rsid w:val="006B6FE3"/>
    <w:rsid w:val="006C7217"/>
    <w:rsid w:val="006E1CBA"/>
    <w:rsid w:val="007163F3"/>
    <w:rsid w:val="00717A8A"/>
    <w:rsid w:val="007215C9"/>
    <w:rsid w:val="00722BC3"/>
    <w:rsid w:val="007233B8"/>
    <w:rsid w:val="00725102"/>
    <w:rsid w:val="00731DBD"/>
    <w:rsid w:val="0076276B"/>
    <w:rsid w:val="00786C36"/>
    <w:rsid w:val="00790489"/>
    <w:rsid w:val="007B4A47"/>
    <w:rsid w:val="007D2DEB"/>
    <w:rsid w:val="007F47B9"/>
    <w:rsid w:val="00802893"/>
    <w:rsid w:val="00820255"/>
    <w:rsid w:val="00823233"/>
    <w:rsid w:val="008263E8"/>
    <w:rsid w:val="008429AE"/>
    <w:rsid w:val="00842F73"/>
    <w:rsid w:val="00844709"/>
    <w:rsid w:val="00845FA7"/>
    <w:rsid w:val="00850BBD"/>
    <w:rsid w:val="00866F29"/>
    <w:rsid w:val="00867869"/>
    <w:rsid w:val="00881E41"/>
    <w:rsid w:val="00883E58"/>
    <w:rsid w:val="00886E99"/>
    <w:rsid w:val="00892A0E"/>
    <w:rsid w:val="008933C8"/>
    <w:rsid w:val="008D189D"/>
    <w:rsid w:val="008E43B3"/>
    <w:rsid w:val="008E6639"/>
    <w:rsid w:val="00907120"/>
    <w:rsid w:val="00907592"/>
    <w:rsid w:val="00926888"/>
    <w:rsid w:val="00932AE4"/>
    <w:rsid w:val="00933E65"/>
    <w:rsid w:val="009351BB"/>
    <w:rsid w:val="0095152B"/>
    <w:rsid w:val="00954AEA"/>
    <w:rsid w:val="00962D66"/>
    <w:rsid w:val="009724EC"/>
    <w:rsid w:val="00972D2F"/>
    <w:rsid w:val="00973892"/>
    <w:rsid w:val="00986931"/>
    <w:rsid w:val="009949C9"/>
    <w:rsid w:val="009B3AB0"/>
    <w:rsid w:val="009D7D92"/>
    <w:rsid w:val="00A16792"/>
    <w:rsid w:val="00A24CAF"/>
    <w:rsid w:val="00A25003"/>
    <w:rsid w:val="00A3102D"/>
    <w:rsid w:val="00A57910"/>
    <w:rsid w:val="00A57E5B"/>
    <w:rsid w:val="00A6040E"/>
    <w:rsid w:val="00A6673A"/>
    <w:rsid w:val="00A71D39"/>
    <w:rsid w:val="00A72736"/>
    <w:rsid w:val="00A824CC"/>
    <w:rsid w:val="00A8361D"/>
    <w:rsid w:val="00A93AE5"/>
    <w:rsid w:val="00AD36DC"/>
    <w:rsid w:val="00AD7E7D"/>
    <w:rsid w:val="00AE0001"/>
    <w:rsid w:val="00AE3410"/>
    <w:rsid w:val="00AE54F1"/>
    <w:rsid w:val="00AF2258"/>
    <w:rsid w:val="00AF2A80"/>
    <w:rsid w:val="00B006B0"/>
    <w:rsid w:val="00B21340"/>
    <w:rsid w:val="00B372D7"/>
    <w:rsid w:val="00B55696"/>
    <w:rsid w:val="00B772DD"/>
    <w:rsid w:val="00BA7A56"/>
    <w:rsid w:val="00BB5E33"/>
    <w:rsid w:val="00BB6218"/>
    <w:rsid w:val="00BC3E86"/>
    <w:rsid w:val="00BD0B12"/>
    <w:rsid w:val="00BD35E1"/>
    <w:rsid w:val="00BF0440"/>
    <w:rsid w:val="00C038FD"/>
    <w:rsid w:val="00C35F95"/>
    <w:rsid w:val="00C37660"/>
    <w:rsid w:val="00C41AFF"/>
    <w:rsid w:val="00C72D4C"/>
    <w:rsid w:val="00C75F85"/>
    <w:rsid w:val="00C802D0"/>
    <w:rsid w:val="00C8699C"/>
    <w:rsid w:val="00CA05F0"/>
    <w:rsid w:val="00CC300E"/>
    <w:rsid w:val="00CC59CE"/>
    <w:rsid w:val="00CD2165"/>
    <w:rsid w:val="00CE56AC"/>
    <w:rsid w:val="00CF6231"/>
    <w:rsid w:val="00D02616"/>
    <w:rsid w:val="00D240C3"/>
    <w:rsid w:val="00D35E7B"/>
    <w:rsid w:val="00D57783"/>
    <w:rsid w:val="00D81BD2"/>
    <w:rsid w:val="00D87827"/>
    <w:rsid w:val="00DB0064"/>
    <w:rsid w:val="00DB24FE"/>
    <w:rsid w:val="00DC3969"/>
    <w:rsid w:val="00DD09FD"/>
    <w:rsid w:val="00DD103B"/>
    <w:rsid w:val="00DD5BBC"/>
    <w:rsid w:val="00E02008"/>
    <w:rsid w:val="00E03517"/>
    <w:rsid w:val="00E13A45"/>
    <w:rsid w:val="00E15704"/>
    <w:rsid w:val="00E164B7"/>
    <w:rsid w:val="00E3269F"/>
    <w:rsid w:val="00E42199"/>
    <w:rsid w:val="00E46381"/>
    <w:rsid w:val="00E606BE"/>
    <w:rsid w:val="00E6367C"/>
    <w:rsid w:val="00E66D3A"/>
    <w:rsid w:val="00E7012C"/>
    <w:rsid w:val="00E769FD"/>
    <w:rsid w:val="00E824AF"/>
    <w:rsid w:val="00E863F4"/>
    <w:rsid w:val="00EA418A"/>
    <w:rsid w:val="00EB39BC"/>
    <w:rsid w:val="00EC207C"/>
    <w:rsid w:val="00EC6A61"/>
    <w:rsid w:val="00ED1944"/>
    <w:rsid w:val="00EF060F"/>
    <w:rsid w:val="00F11B7F"/>
    <w:rsid w:val="00F31D7C"/>
    <w:rsid w:val="00F32C5D"/>
    <w:rsid w:val="00F361B6"/>
    <w:rsid w:val="00F43193"/>
    <w:rsid w:val="00F86A9F"/>
    <w:rsid w:val="00F91054"/>
    <w:rsid w:val="00F979BB"/>
    <w:rsid w:val="00FB2B86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4BAC26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link w:val="TitulekChar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5A2D"/>
    <w:pPr>
      <w:ind w:left="720"/>
      <w:contextualSpacing/>
    </w:pPr>
  </w:style>
  <w:style w:type="paragraph" w:customStyle="1" w:styleId="Nadpis">
    <w:name w:val="Nadpis"/>
    <w:basedOn w:val="Nadpis1"/>
    <w:next w:val="Normln"/>
    <w:rsid w:val="003C4E77"/>
    <w:pPr>
      <w:suppressAutoHyphens/>
      <w:spacing w:before="3000"/>
    </w:pPr>
    <w:rPr>
      <w:rFonts w:eastAsia="MS Gothic" w:cs="Times New Roman"/>
      <w:b/>
      <w:sz w:val="72"/>
      <w:szCs w:val="72"/>
      <w:lang w:eastAsia="ar-SA"/>
    </w:rPr>
  </w:style>
  <w:style w:type="character" w:customStyle="1" w:styleId="TitulekChar">
    <w:name w:val="Titulek Char"/>
    <w:aliases w:val="Popisky obrazku/tabulek Char"/>
    <w:basedOn w:val="Standardnpsmoodstavce"/>
    <w:link w:val="Titulek"/>
    <w:uiPriority w:val="35"/>
    <w:rsid w:val="001C2D99"/>
    <w:rPr>
      <w:rFonts w:ascii="Arial" w:hAnsi="Arial" w:cs="Arial"/>
      <w:i/>
      <w:iCs/>
      <w:color w:val="12275D"/>
      <w:sz w:val="20"/>
      <w:szCs w:val="18"/>
    </w:rPr>
  </w:style>
  <w:style w:type="paragraph" w:customStyle="1" w:styleId="Styl3">
    <w:name w:val="Styl3"/>
    <w:basedOn w:val="Nadpis2"/>
    <w:qFormat/>
    <w:rsid w:val="001C2D99"/>
    <w:pPr>
      <w:spacing w:after="240" w:line="276" w:lineRule="auto"/>
    </w:pPr>
    <w:rPr>
      <w:rFonts w:eastAsiaTheme="majorEastAsia"/>
      <w:b/>
      <w:color w:val="14387F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vaclav.novak@chmi.cz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uoco/mes_zpravy/Rocni_zprava_2024.pdf" TargetMode="External"/><Relationship Id="rId14" Type="http://schemas.openxmlformats.org/officeDocument/2006/relationships/hyperlink" Target="mailto:jan.dolezal2@chm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35DF9-8FDB-45B0-A930-9CD40D9E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28</TotalTime>
  <Pages>3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BERÁNKOVÁ, MgA.</cp:lastModifiedBy>
  <cp:revision>8</cp:revision>
  <cp:lastPrinted>2025-01-23T07:51:00Z</cp:lastPrinted>
  <dcterms:created xsi:type="dcterms:W3CDTF">2025-01-22T10:33:00Z</dcterms:created>
  <dcterms:modified xsi:type="dcterms:W3CDTF">2025-01-23T07:52:00Z</dcterms:modified>
</cp:coreProperties>
</file>